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广东药科大学2020年夏季普通高校招生章程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广东药科大学2020年夏季普通高校招生章程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学校名称：广东药科大学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学校国标代码：10573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广州大学城校区（校本部）:广东省广州市广州大学城外环东路280号，邮编：510006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中山校区：广东省中山市五桂山长命水大道9号，邮编：528458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云浮校区：云浮市云安区西江新城文华路368号，邮编：527322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毕（结）业颁证：按国家招生管理规定录取并取得本校正式学籍的学生，在校期间完成教学计划规定的理论和实践教学环节，成绩合格，获得规定的学分，达到毕（结）业要求者，颁发普通高等学校毕（结）业证书。颁发证书学校名称：广东药科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  </w:t>
      </w:r>
      <w:r>
        <w:rPr>
          <w:rFonts w:hint="eastAsia" w:ascii="微软雅黑" w:hAnsi="微软雅黑" w:eastAsia="微软雅黑" w:cs="微软雅黑"/>
          <w:b w:val="0"/>
          <w:i w:val="0"/>
          <w:caps w:val="0"/>
          <w:color w:val="666666"/>
          <w:spacing w:val="0"/>
          <w:sz w:val="21"/>
          <w:szCs w:val="21"/>
          <w:bdr w:val="none" w:color="auto" w:sz="0" w:space="0"/>
          <w:shd w:val="clear" w:fill="FFFFFF"/>
        </w:rPr>
        <w:t>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学校录取批次为本科提前批次、本科批次。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订单定向培养农村卫生人才实施方案录取进入本校的定向培养考生免学费和住宿费，原则上不得转学及转专业，须与定向县（市、区）的卫生健康行政部门、人力资源社会保障局签订《农村订单定向医学生免费培养定向就业协议书》，毕业后派遣到指定的定向县（市、区）定向服务单位连续工作6年。定向县（市、区）的卫生健康行政部门、人力资源社会保障局负责督促定向服务单位落实考生就业岗位并在有空编时优先入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招生办公室的有关招生录取政策和规定，本着公开、公平、公正的原则，以考生高考成绩为基本依据，全面衡量德智体美劳综合素质，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在省招生委员会划定的录取最低控制分数线上，在确保完成招生计划的前提下，按照文科类、理科类分类录取。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在思想政治品德考核和身体健康状况检查合格、统考成绩达到同批录取最低分数线，符合本校提档要求的情况下，依据考生志愿，择优录取。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根据各省投档规则出档后，文科类、理科类专业实行“分数优先”的录取原则，尊重考生所填的专业志愿顺序，不设置专业志愿级差。即根据考生投档总分排位情况从高到低录取，先安排高分考生的第一专业志愿，若该专业额满，再逐一查看该生的后续专业志愿。投档总分相同时：投档总分有对应排位的，排位前者优先录取，投档总分排位相同时，优先录取已修习相关专业基础知识（模块）的考生；投档总分没有对应排位的，比较单科成绩高低，单科成绩高者优先录取；文史类依次比较语文、数学、外语；理工类依次比较数学、外语、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本校农村卫生专项计划相关专业的录取原则为“专业志愿优先”， 即根据考生所填报专业志愿按考生投档总分排位情况从高分到低分录取，投档总分排位相同时，优先录取已修习相关专业基础知识（模块）的考生。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本校药学（国际班）、市场营销（国际班）等学分互认专业只招收填报本专业志愿的考生。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调剂到计划有空额且符合相关专业要求的专业录取，按考生投档总分从高到低作调剂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我校公共外语教学语种为英语，请非英语语种考生慎重报考。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b w:val="0"/>
          <w:i w:val="0"/>
          <w:caps w:val="0"/>
          <w:color w:val="666666"/>
          <w:spacing w:val="0"/>
          <w:sz w:val="21"/>
          <w:szCs w:val="21"/>
          <w:bdr w:val="none" w:color="auto" w:sz="0" w:space="0"/>
          <w:shd w:val="clear" w:fill="FFFFFF"/>
        </w:rPr>
        <w:t>我校在上海、浙江的选课要求按照（提前）公布的选科要求执行，在一市一省的录取原则按照在上海、浙江公布的方案及有关办法执行。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我校在江苏省的专业录取原则按照先分数后等级的录取办法执行，等级顺序为A+A+、A+A、AA、A+B+、A+B、AB+、AB、B+B+、B+B、BB，同分同等级考生按语文、数学科目的总分（含附加分）从高到低排序。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鉴于化学化工类、医药类、生物医学类、食品类等专业的特殊性和就业特点，凡色盲色弱者均不能报考我校上述所有专业。同时，因用人单位有要求，请转氨酶异常的考生慎重报考我校化学化工类、医药类、生物医学类、食品类等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本校收费标准按《关于调整公办普通高校学费的通知》（粤发改价格〔2016〕367号）和《广东省发展改革委 广东省教育厅 广东省财政厅关于广东省普通高校学分制收费的管理办法》（粤发改价格〔2016〕366号）公布的标准执行。如有变动，以上级文件为准。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学校承诺不让学生因家庭经济困难而失去就学机会，凡持有我校录取通知书的新生均可以办理入学手续。入学后，学校将采取以下措施帮助、协助家庭经济困难学生完成学业：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 设置形式多样的奖学金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 国家奖学金、国家励志奖学金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由中央政府出资设立，学校每年均有一定的奖励名额，专门用于奖励品学兼优的家庭经济困难学生。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 优秀新生奖学金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学校设立优秀新生奖学金，用于奖励报考我校的高考成绩优秀的学生。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 优秀学生奖学金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学校设立各类奖学金，用于奖励优秀学生和集体。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 实行国家助学贷款制度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学校按照规定协助家庭经济困难学生申请国家助学贷款。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 设置国家助学金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根据政府的有关政策，学校每年均有一定的资助名额，专门用于资助家庭经济困难学生。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(四)学校设立专门的学生勤工助学管理机构，提供工作岗位、兼职信息，支持家庭经济困难学生利用课余时间参加勤工助学活动，获取报酬。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咨询电话：020-39352027，39352500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真：020-39353293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电子邮箱：gdyzsb@126.com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学校网址：http://www.gdpu.edu.cn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招生网址：http://zsb.gdpu.edu.cn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监督电话：020-39352093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真：020-39352093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"mailto:gyjw@gdpu.edu.cn"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gyjw@gdpu.edu.cn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本章程由广东药科大学授权广东药科大学招生办公室解释。本章程若与国家和各省（区、市）的规定不一致，则以国家和各省（区、市）的规定为准。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75509"/>
    <w:rsid w:val="7B675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2021-01-08T07:10:00Z</dcterms:created>
  <dc:creator>太阳宝宝</dc:creator>
  <cp:lastModifiedBy>太阳宝宝</cp:lastModifiedBy>
  <dcterms:modified xsi:type="dcterms:W3CDTF">2021-01-08T07:10:50Z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