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微软雅黑" w:hAnsi="微软雅黑" w:eastAsia="微软雅黑" w:cs="微软雅黑"/>
          <w:b w:val="0"/>
          <w:i w:val="0"/>
          <w:caps w:val="0"/>
          <w:color w:val="333333"/>
          <w:spacing w:val="0"/>
          <w:sz w:val="36"/>
          <w:szCs w:val="36"/>
        </w:rPr>
      </w:pPr>
      <w:r>
        <w:rPr>
          <w:rFonts w:hint="eastAsia" w:ascii="微软雅黑" w:hAnsi="微软雅黑" w:eastAsia="微软雅黑" w:cs="微软雅黑"/>
          <w:b w:val="0"/>
          <w:i w:val="0"/>
          <w:caps w:val="0"/>
          <w:color w:val="333333"/>
          <w:spacing w:val="0"/>
          <w:sz w:val="36"/>
          <w:szCs w:val="36"/>
          <w:bdr w:val="none" w:color="auto" w:sz="0" w:space="0"/>
          <w:shd w:val="clear" w:fill="FFFFFF"/>
        </w:rPr>
        <w:t>广东工业大学2020年夏季普通高考招生章程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bookmarkStart w:id="0" w:name="_GoBack"/>
      <w:bookmarkEnd w:id="0"/>
      <w:r>
        <w:rPr>
          <w:rFonts w:hint="eastAsia" w:ascii="微软雅黑" w:hAnsi="微软雅黑" w:eastAsia="微软雅黑" w:cs="微软雅黑"/>
          <w:b w:val="0"/>
          <w:i w:val="0"/>
          <w:caps w:val="0"/>
          <w:color w:val="666666"/>
          <w:spacing w:val="0"/>
          <w:sz w:val="21"/>
          <w:szCs w:val="21"/>
          <w:bdr w:val="none" w:color="auto" w:sz="0" w:space="0"/>
          <w:shd w:val="clear" w:fill="FFFFFF"/>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第二章 学校概况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第三章 组织机构与职责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第四章 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第五章 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第六章 录取体检标准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第七章 新生注册和复查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第八章 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第九章 资助学生政策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第十章 招生工作咨询、监督与申诉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第十一章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第一条</w:t>
      </w:r>
      <w:r>
        <w:rPr>
          <w:rFonts w:hint="eastAsia" w:ascii="微软雅黑" w:hAnsi="微软雅黑" w:eastAsia="微软雅黑" w:cs="微软雅黑"/>
          <w:b w:val="0"/>
          <w:i w:val="0"/>
          <w:caps w:val="0"/>
          <w:color w:val="666666"/>
          <w:spacing w:val="0"/>
          <w:sz w:val="21"/>
          <w:szCs w:val="21"/>
          <w:bdr w:val="none" w:color="auto" w:sz="0" w:space="0"/>
          <w:shd w:val="clear" w:fill="FFFFFF"/>
        </w:rPr>
        <w:t>  为了保证夏季普通高考招生工作顺利进行，切实维护学校和考生的合法权益，依据《中华人民共和国教育法》和《中华人民共和国高等教育法》等法规、国务院和广东省关于深化考试招生制度改革的实施意见文件精神以及教育部、省招生委员会的有关规定，全面落实《教育部关于进一步推进高校招生信息公开工作的通知》(教学函〔2013〕9号)的要求，结合学校实际情况，特制定本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学校招生工作遵循“公平竞争、公正选拔、公开程序，德智体美劳全面考核、综合评价、择优录取”的原则，接受纪检监察部门、考生、家长以及社会各界的监督。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第二章 学校概况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学校名称：广东工业大学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学校国标代码：11845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第五条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大学城校区（校本部）：广州市番禺区小谷围街广州大学城外环西路100号；邮政编码：510006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东风路校区：广州市越秀区东风东路729号；邮政编码：510090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龙洞校区：广州市天河区龙洞街迎龙路161号；邮政编码：510520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番禺校区：广州市番禺区钟村街市广路钟三路段11号；邮政编码：511495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第六条</w:t>
      </w:r>
      <w:r>
        <w:rPr>
          <w:rFonts w:hint="eastAsia" w:ascii="微软雅黑" w:hAnsi="微软雅黑" w:eastAsia="微软雅黑" w:cs="微软雅黑"/>
          <w:b w:val="0"/>
          <w:i w:val="0"/>
          <w:caps w:val="0"/>
          <w:color w:val="666666"/>
          <w:spacing w:val="0"/>
          <w:sz w:val="21"/>
          <w:szCs w:val="21"/>
          <w:bdr w:val="none" w:color="auto" w:sz="0" w:space="0"/>
          <w:shd w:val="clear" w:fill="FFFFFF"/>
        </w:rPr>
        <w:t>  办学层次：本科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第七条</w:t>
      </w:r>
      <w:r>
        <w:rPr>
          <w:rFonts w:hint="eastAsia" w:ascii="微软雅黑" w:hAnsi="微软雅黑" w:eastAsia="微软雅黑" w:cs="微软雅黑"/>
          <w:b w:val="0"/>
          <w:i w:val="0"/>
          <w:caps w:val="0"/>
          <w:color w:val="666666"/>
          <w:spacing w:val="0"/>
          <w:sz w:val="21"/>
          <w:szCs w:val="21"/>
          <w:bdr w:val="none" w:color="auto" w:sz="0" w:space="0"/>
          <w:shd w:val="clear" w:fill="FFFFFF"/>
        </w:rPr>
        <w:t>  办学性质：公办普通高等学校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第八条</w:t>
      </w:r>
      <w:r>
        <w:rPr>
          <w:rFonts w:hint="eastAsia" w:ascii="微软雅黑" w:hAnsi="微软雅黑" w:eastAsia="微软雅黑" w:cs="微软雅黑"/>
          <w:b w:val="0"/>
          <w:i w:val="0"/>
          <w:caps w:val="0"/>
          <w:color w:val="666666"/>
          <w:spacing w:val="0"/>
          <w:sz w:val="21"/>
          <w:szCs w:val="21"/>
          <w:bdr w:val="none" w:color="auto" w:sz="0" w:space="0"/>
          <w:shd w:val="clear" w:fill="FFFFFF"/>
        </w:rPr>
        <w:t>  办学类型：全日制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第九条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学校主管单位：广东省教育厅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第十条</w:t>
      </w:r>
      <w:r>
        <w:rPr>
          <w:rFonts w:hint="eastAsia" w:ascii="微软雅黑" w:hAnsi="微软雅黑" w:eastAsia="微软雅黑" w:cs="微软雅黑"/>
          <w:b w:val="0"/>
          <w:i w:val="0"/>
          <w:caps w:val="0"/>
          <w:color w:val="666666"/>
          <w:spacing w:val="0"/>
          <w:sz w:val="21"/>
          <w:szCs w:val="21"/>
          <w:bdr w:val="none" w:color="auto" w:sz="0" w:space="0"/>
          <w:shd w:val="clear" w:fill="FFFFFF"/>
        </w:rPr>
        <w:t>  毕（结）业颁证：按国家招生管理规定录取并取得本校正式学籍的学生，在学校规定年限内，完成所修专业培养方案内规定内容，成绩合格，达到毕（结）业要求者，颁发普通高等学校毕（结）业证书。颁发证书学校名称：广东工业大学，证书种类：普通高等学校毕（结）业证书；对符合学士学位授予条件的本科毕业生，授予学士学位并颁发学位证书；退学学生，视具体情况发放肄业证书或开具相应学习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第三章 组织机构及职责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第十一条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设立由学校领导和相关职能部门负责人、学校教师、学生及校友代表组成的招生委员会，全面贯彻执行教育部和广东省招生委员会有关普通高校考试招生政策，负责制定学校招生章程、招生规定和实施细则、确定招生规模和调整专业招生计划、组织管理招生工作的具体实施，协调处理招生工作中的重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第十二条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学校成立招生工作领导小组，负责学校普通全日制本科招生工作。招生工作领导小组由学校领导和教务处、招生办公室等相关职能部门负责人组成，纪检监察部门有关人员作为监督员列席招生工作领导小组会议。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第十三条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学校设立由学校领导和纪检监察部门组成的招生工作监察小组，对普通全日制本科招生工作实施监督。在招生录取期间成立信访小组，负责处理考生的信访、申诉、投诉工作。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第十四条</w:t>
      </w:r>
      <w:r>
        <w:rPr>
          <w:rFonts w:hint="eastAsia" w:ascii="微软雅黑" w:hAnsi="微软雅黑" w:eastAsia="微软雅黑" w:cs="微软雅黑"/>
          <w:b w:val="0"/>
          <w:i w:val="0"/>
          <w:caps w:val="0"/>
          <w:color w:val="666666"/>
          <w:spacing w:val="0"/>
          <w:sz w:val="21"/>
          <w:szCs w:val="21"/>
          <w:bdr w:val="none" w:color="auto" w:sz="0" w:space="0"/>
          <w:shd w:val="clear" w:fill="FFFFFF"/>
        </w:rPr>
        <w:t>  招生办公室为学校招生委员会的执行机构，其主要职责是根据学校的招生规定和实施细则，编制招生计划，组织招生宣传和录取工作，处理招生的日常事务。招生工作人员必须严格遵守招生纪律和有关考试命题的规定，主动接受纪检监察部门和社会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第四章 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第十五条  录取批次：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（1）在广东省，学校的录取批次为本科批次。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2）在广东省以外的生源省（区、市），学校普通文科类、理科类的录取批次为本科第一批次【高考改革试点的生源省（区、市）的录取批次按照生源省（区、市）相关规定执行）】，学校艺术类的录取批次按生源省（区、市）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（3）高水平运动队、国家专项计划、地方专项计划、内地新疆高中班、少数民族预科、港澳台侨生的录取批次按教育部及生源省（区、市）规定执行。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（4）录取批次如有调整，以各生源省（区、市）招生专业目录公布为准。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第十六条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分专业招生计划及有关要求均以生源省（区、市）公布的招生专业目录为准。根据教育部相关规定，学校本科招生预留不超过本科招生计划总数的1%用于生源质量调控及解决考生专业服从调剂而需要增加计划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第十七条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学校是经教育部批准具有试点举办高水平运动队资格的高校，布点项目为篮球、足球、乒乓球、网球。相关招生规定详见《2020年广东工业大学高水平运动队招生简章》。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第五章 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第十八条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遵循教育部规定的“学校负责、招办监督”的录取体制，严格遵守教育部、省（区、市）招生办公室的有关招生录取政策和规定，本着公开、公平、公正的原则，以考生高考成绩为基本依据，综合衡量德智体美劳，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第十九条</w:t>
      </w:r>
      <w:r>
        <w:rPr>
          <w:rFonts w:hint="eastAsia" w:ascii="微软雅黑" w:hAnsi="微软雅黑" w:eastAsia="微软雅黑" w:cs="微软雅黑"/>
          <w:b w:val="0"/>
          <w:i w:val="0"/>
          <w:caps w:val="0"/>
          <w:color w:val="666666"/>
          <w:spacing w:val="0"/>
          <w:sz w:val="21"/>
          <w:szCs w:val="21"/>
          <w:bdr w:val="none" w:color="auto" w:sz="0" w:space="0"/>
          <w:shd w:val="clear" w:fill="FFFFFF"/>
        </w:rPr>
        <w:t>  在省（区、市）招生委员会划定的录取最低控制分数线上，在确保完成招生计划的前提下，按照文科类、理科类、艺术类分类录取。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第二十条</w:t>
      </w:r>
      <w:r>
        <w:rPr>
          <w:rFonts w:hint="eastAsia" w:ascii="微软雅黑" w:hAnsi="微软雅黑" w:eastAsia="微软雅黑" w:cs="微软雅黑"/>
          <w:b w:val="0"/>
          <w:i w:val="0"/>
          <w:caps w:val="0"/>
          <w:color w:val="666666"/>
          <w:spacing w:val="0"/>
          <w:sz w:val="21"/>
          <w:szCs w:val="21"/>
          <w:bdr w:val="none" w:color="auto" w:sz="0" w:space="0"/>
          <w:shd w:val="clear" w:fill="FFFFFF"/>
        </w:rPr>
        <w:t>  在实行平行志愿投档的省（区、市），学校可根据各省（区、市）招生办公室公布的平行志愿投档规则及生源情况确定招生计划微调方案和调档比例。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第二十一条</w:t>
      </w:r>
      <w:r>
        <w:rPr>
          <w:rFonts w:hint="eastAsia" w:ascii="微软雅黑" w:hAnsi="微软雅黑" w:eastAsia="微软雅黑" w:cs="微软雅黑"/>
          <w:b w:val="0"/>
          <w:i w:val="0"/>
          <w:caps w:val="0"/>
          <w:color w:val="666666"/>
          <w:spacing w:val="0"/>
          <w:sz w:val="21"/>
          <w:szCs w:val="21"/>
          <w:bdr w:val="none" w:color="auto" w:sz="0" w:space="0"/>
          <w:shd w:val="clear" w:fill="FFFFFF"/>
        </w:rPr>
        <w:t>  在思想政治品德考核和身体健康状况检查合格、统考成绩达到同批录取最低分数线且符合本校提档要求的情况下，依据考生成绩、专业志愿以及本校录取原则择优录取。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第二十二条</w:t>
      </w:r>
      <w:r>
        <w:rPr>
          <w:rFonts w:hint="eastAsia" w:ascii="微软雅黑" w:hAnsi="微软雅黑" w:eastAsia="微软雅黑" w:cs="微软雅黑"/>
          <w:b w:val="0"/>
          <w:i w:val="0"/>
          <w:caps w:val="0"/>
          <w:color w:val="666666"/>
          <w:spacing w:val="0"/>
          <w:sz w:val="21"/>
          <w:szCs w:val="21"/>
          <w:bdr w:val="none" w:color="auto" w:sz="0" w:space="0"/>
          <w:shd w:val="clear" w:fill="FFFFFF"/>
        </w:rPr>
        <w:t>  在广东省，报考本校普通本科层次普通类专业，文科类考生必须参加普通高中学业水平物理、化学、生物学3门科目的考试，理科类考生必须参加普通高中学业水平思想政治、历史、地理3门科目的考试，各科目考试均须获得等级成绩且至少有2门科目成绩达到C级及以上等级。具体要求以广东省当年招生录取工作文件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第二十三条</w:t>
      </w:r>
      <w:r>
        <w:rPr>
          <w:rFonts w:hint="eastAsia" w:ascii="微软雅黑" w:hAnsi="微软雅黑" w:eastAsia="微软雅黑" w:cs="微软雅黑"/>
          <w:b w:val="0"/>
          <w:i w:val="0"/>
          <w:caps w:val="0"/>
          <w:color w:val="666666"/>
          <w:spacing w:val="0"/>
          <w:sz w:val="21"/>
          <w:szCs w:val="21"/>
          <w:bdr w:val="none" w:color="auto" w:sz="0" w:space="0"/>
          <w:shd w:val="clear" w:fill="FFFFFF"/>
        </w:rPr>
        <w:t>  在广东省，报考普通本科层次艺术类考生，参加高考文科类文化课考试的必须参加物理、化学、生物学3门科目的普通高中学考，参加高考理科类文化课考试的必须参加思想政治、历史、地理3门科目的普通高中学考；且考生学考成绩至少须有2门科目成绩达到D级及以上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第二十四条</w:t>
      </w:r>
      <w:r>
        <w:rPr>
          <w:rFonts w:hint="eastAsia" w:ascii="微软雅黑" w:hAnsi="微软雅黑" w:eastAsia="微软雅黑" w:cs="微软雅黑"/>
          <w:b w:val="0"/>
          <w:i w:val="0"/>
          <w:caps w:val="0"/>
          <w:color w:val="666666"/>
          <w:spacing w:val="0"/>
          <w:sz w:val="21"/>
          <w:szCs w:val="21"/>
          <w:bdr w:val="none" w:color="auto" w:sz="0" w:space="0"/>
          <w:shd w:val="clear" w:fill="FFFFFF"/>
        </w:rPr>
        <w:t>  文科类、理科类专业录取规则：在各省（区、市）投档后，根据“分数优先”的录取原则，按照考生投档总分排位从高到低排序录取。先安排排位高的考生的第一专业志愿，若该专业额满，再逐一检索该生的后续专业志愿。考生投档总分排位相同时，优先录取已修习相关专业基础知识（模块）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当考生投档总分相同且没有对应排位时，比较单科成绩高低，单科成绩高者优先录取。文科类考生依次比较语文、数学、外语；理科类考生依次比较数学、外语、语文。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第二十五条</w:t>
      </w:r>
      <w:r>
        <w:rPr>
          <w:rFonts w:hint="eastAsia" w:ascii="微软雅黑" w:hAnsi="微软雅黑" w:eastAsia="微软雅黑" w:cs="微软雅黑"/>
          <w:b w:val="0"/>
          <w:i w:val="0"/>
          <w:caps w:val="0"/>
          <w:color w:val="666666"/>
          <w:spacing w:val="0"/>
          <w:sz w:val="21"/>
          <w:szCs w:val="21"/>
          <w:bdr w:val="none" w:color="auto" w:sz="0" w:space="0"/>
          <w:shd w:val="clear" w:fill="FFFFFF"/>
        </w:rPr>
        <w:t>  艺术类专业录取规则：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1）术科成绩采用。表演专业：湖南省考生采用表演类（服装表演）的省统考成绩；山东省考生采用服装表演（模特类）联考成绩；广东省、江西省、黑龙江省考生采用我校表演专业校考成绩。设计学类、美术学专业：采用生源省（区、市）统考的术科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（2）报考表演专业的考生与报考其他艺术类专业的考生分开排名录取。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（3）表演专业：文化课总分达到生源省（区、市）划定的最低录取控制分数线，根据“分数优先”的原则，按照出档考生术科成绩从高到低排序录取。考生术科成绩相同时，文化课成绩高者优先录取。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4）设计学类、美术学专业：文化课总分和术科成绩均达到生源省（区、市）市划定的最低录取控制分数线，根据“分数优先”的原则，按照出档考生投档成绩排位从高到低排序录取。当考生投档成绩相同且没有对应排位时，按照术科统考成绩、高考语文、英语、文科综合/理科综合、文科数学/理科数学科目顺序比较单科成绩，相同科目成绩高者优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其中，湖南省的投档排序规则参照湖南省艺术类统考专业“平行组”的投档排序规则；其他省（区、市）的投档成绩按各省（区、市）录取文件规定执行。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（5）如生源所在省（区、市）对投档录取条件等有最新规定，则按该省（区、市）相关政策执行。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第二十六条</w:t>
      </w:r>
      <w:r>
        <w:rPr>
          <w:rFonts w:hint="eastAsia" w:ascii="微软雅黑" w:hAnsi="微软雅黑" w:eastAsia="微软雅黑" w:cs="微软雅黑"/>
          <w:b w:val="0"/>
          <w:i w:val="0"/>
          <w:caps w:val="0"/>
          <w:color w:val="666666"/>
          <w:spacing w:val="0"/>
          <w:sz w:val="21"/>
          <w:szCs w:val="21"/>
          <w:bdr w:val="none" w:color="auto" w:sz="0" w:space="0"/>
          <w:shd w:val="clear" w:fill="FFFFFF"/>
        </w:rPr>
        <w:t>  本校动画(中外合作办学)专业经教育部批准备案，是学校与印度韦洛尔理工大学合作举办的本科教育项目;本科国际班的相关专业经广东省教育厅批准备案，是学校与英国、美国、澳大利亚等国知名大学合作的一校对多校、学分互认的国际化人才联合培养项目。院校招生代码按教育部及各省（区、市）的要求执行，具体培养模式和学习费用请查看学校本科招生网站相关介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第二十七条</w:t>
      </w:r>
      <w:r>
        <w:rPr>
          <w:rFonts w:hint="eastAsia" w:ascii="微软雅黑" w:hAnsi="微软雅黑" w:eastAsia="微软雅黑" w:cs="微软雅黑"/>
          <w:b w:val="0"/>
          <w:i w:val="0"/>
          <w:caps w:val="0"/>
          <w:color w:val="666666"/>
          <w:spacing w:val="0"/>
          <w:sz w:val="21"/>
          <w:szCs w:val="21"/>
          <w:bdr w:val="none" w:color="auto" w:sz="0" w:space="0"/>
          <w:shd w:val="clear" w:fill="FFFFFF"/>
        </w:rPr>
        <w:t>  当考生填报的所有专业均已录满时，依据考生是否服从专业调剂进行录取或退档。考生服从专业调剂的，按考生投档总分排位从高到低调剂到计划有空额且符合相关专业要求的专业录取；考生不服从专业调剂或服从专业调剂但是不符合计划有空额专业相关要求的，作退档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第二十八条</w:t>
      </w:r>
      <w:r>
        <w:rPr>
          <w:rFonts w:hint="eastAsia" w:ascii="微软雅黑" w:hAnsi="微软雅黑" w:eastAsia="微软雅黑" w:cs="微软雅黑"/>
          <w:b w:val="0"/>
          <w:i w:val="0"/>
          <w:caps w:val="0"/>
          <w:color w:val="666666"/>
          <w:spacing w:val="0"/>
          <w:sz w:val="21"/>
          <w:szCs w:val="21"/>
          <w:bdr w:val="none" w:color="auto" w:sz="0" w:space="0"/>
          <w:shd w:val="clear" w:fill="FFFFFF"/>
        </w:rPr>
        <w:t>  本校公共外语教学为英语，非英语语种考生需慎重报考。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第二十九条</w:t>
      </w:r>
      <w:r>
        <w:rPr>
          <w:rFonts w:hint="eastAsia" w:ascii="微软雅黑" w:hAnsi="微软雅黑" w:eastAsia="微软雅黑" w:cs="微软雅黑"/>
          <w:b w:val="0"/>
          <w:i w:val="0"/>
          <w:caps w:val="0"/>
          <w:color w:val="666666"/>
          <w:spacing w:val="0"/>
          <w:sz w:val="21"/>
          <w:szCs w:val="21"/>
          <w:bdr w:val="none" w:color="auto" w:sz="0" w:space="0"/>
          <w:shd w:val="clear" w:fill="FFFFFF"/>
        </w:rPr>
        <w:t>  录取至建筑类（含建筑学、城乡规划、风景园林专业）的考生，入校后须加试素描。素描成绩不合格者将参照学校当年各专业在生源地录取分数线、考生的高考成绩及考生填报学校的专业志愿调整专业。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有关加分或照顾录取政策，在各省（区、市）执行各省（区、市）招生办公布的加分项目及分值。加分分值适用于投档及专业分档。符合国家和省（区、市）招生办公布的优录条件考生，学校在同等条件下优先录取。对考生学业水平成绩的要求，按各省（区、市）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第三十一条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 本校在已经实施新高考方案的省（区、市）的选科要求按照公布的选科要求执行，录取原则按照相应省（区、市）公布的方案及有关办法执行。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第六章  录取体检标准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第三十二条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本校录取考生的体检标准按照教育部、卫生部、中国残疾人联合会颁布的《普通高等学校招生体检工作指导意见》和《教育部办公厅 卫生部办公厅关于普通高等学校招生学生入学身体检查取消乙肝项目检测有关 问题的通知》（教学厅〔2010〕2号）的有关规定执行。对于残障考生，若其生活能够自理，符合所报专业要求，且高考成绩达到录取标准，予以正常录取。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不招色盲专业（类）：自动化（创新班）、测控技术与仪器、自动化类（含自动化、机器人工程专业）、电气工程及其自动化、测绘工程、材料成型及控制工程、工业设计、数字媒体技术、设计学类（含服装与服饰设计、环境设计、视觉传达设计、产品设计、数字媒体艺术专业）、美术学、电气工程及其自动化(国际班)、动画(中外合作办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不招色盲色弱专业（类）：化学工程与工艺（创新班）、化工与制药类（含化学工程与工艺、能源化学工程专业）、制药工程、应用化学、生物工程、食品科学与工程、材料类（含高分子材料与工程、金属材料工程、新能源材料与器件专业）、环境科学与工程类（含环境工程、环境科学、环境生态工程专业）、安全工程、建筑类（含建筑学、城乡规划、风景园林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不招单色识别不全者专业（类）：物联网工程、数据科学与大数据技术、电子信息类（含信息工程、通信工程、电子信息工程、集成电路设计与集成系统、人工智能专业）、计算机类（含计算机科学与技术、软件工程、网络工程、信息安全专业）、微电子科学与工程、电子科学与技术、光电信息科学与工程、计算机科学与技术(国际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第三十三条  </w:t>
      </w:r>
      <w:r>
        <w:rPr>
          <w:rFonts w:hint="eastAsia" w:ascii="微软雅黑" w:hAnsi="微软雅黑" w:eastAsia="微软雅黑" w:cs="微软雅黑"/>
          <w:b w:val="0"/>
          <w:i w:val="0"/>
          <w:caps w:val="0"/>
          <w:color w:val="666666"/>
          <w:spacing w:val="0"/>
          <w:sz w:val="21"/>
          <w:szCs w:val="21"/>
          <w:bdr w:val="none" w:color="auto" w:sz="0" w:space="0"/>
          <w:shd w:val="clear" w:fill="FFFFFF"/>
        </w:rPr>
        <w:t>新生入学后，学校以教育部、卫生部、中国残疾人联合会制定的《普通高等学校招生体检工作指导意见》、《教育部办公厅 卫生部办公厅关于普通高等学校招生学生入学身体检查取消乙肝项目检测有关问题的通知》为依据，对新生身体健康状况进行复查，对经复查不符合体检要求或不宜就读已录取专业者，按有关学籍管理规定办理，予以转专业或取消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第七章</w:t>
      </w:r>
      <w:r>
        <w:rPr>
          <w:rFonts w:hint="eastAsia" w:ascii="微软雅黑" w:hAnsi="微软雅黑" w:eastAsia="微软雅黑" w:cs="微软雅黑"/>
          <w:b w:val="0"/>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新生注册和复查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第三十四条  </w:t>
      </w:r>
      <w:r>
        <w:rPr>
          <w:rFonts w:hint="eastAsia" w:ascii="微软雅黑" w:hAnsi="微软雅黑" w:eastAsia="微软雅黑" w:cs="微软雅黑"/>
          <w:b w:val="0"/>
          <w:i w:val="0"/>
          <w:caps w:val="0"/>
          <w:color w:val="666666"/>
          <w:spacing w:val="0"/>
          <w:sz w:val="21"/>
          <w:szCs w:val="21"/>
          <w:bdr w:val="none" w:color="auto" w:sz="0" w:space="0"/>
          <w:shd w:val="clear" w:fill="FFFFFF"/>
        </w:rPr>
        <w:t>经本校夏季高考招生录取的考生，须在规定时间内办理缴交学费注册手续，逾期未注册者，作自行放弃入学资格处理。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第三十五条</w:t>
      </w:r>
      <w:r>
        <w:rPr>
          <w:rFonts w:hint="eastAsia" w:ascii="微软雅黑" w:hAnsi="微软雅黑" w:eastAsia="微软雅黑" w:cs="微软雅黑"/>
          <w:b w:val="0"/>
          <w:i w:val="0"/>
          <w:caps w:val="0"/>
          <w:color w:val="666666"/>
          <w:spacing w:val="0"/>
          <w:sz w:val="21"/>
          <w:szCs w:val="21"/>
          <w:bdr w:val="none" w:color="auto" w:sz="0" w:space="0"/>
          <w:shd w:val="clear" w:fill="FFFFFF"/>
        </w:rPr>
        <w:t>  新生入学三个月内，将对学生进行政治、文化、健康等方面的复查。对在报名和考试过程中有弄虚作假或其他违纪违规行为者，将按规定取消学籍。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第八章 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第三十六条</w:t>
      </w:r>
      <w:r>
        <w:rPr>
          <w:rFonts w:hint="eastAsia" w:ascii="微软雅黑" w:hAnsi="微软雅黑" w:eastAsia="微软雅黑" w:cs="微软雅黑"/>
          <w:b w:val="0"/>
          <w:i w:val="0"/>
          <w:caps w:val="0"/>
          <w:color w:val="666666"/>
          <w:spacing w:val="0"/>
          <w:sz w:val="21"/>
          <w:szCs w:val="21"/>
          <w:bdr w:val="none" w:color="auto" w:sz="0" w:space="0"/>
          <w:shd w:val="clear" w:fill="FFFFFF"/>
        </w:rPr>
        <w:t>  本校收费标准按《关于调整公办普通高校学费的通知》（粤发改价格〔2016〕367号）和《广东省发展改革委 广东省教育厅 广东省财政厅关于广东省普通高校学分制收费的管理办法》（粤发改价格〔2016〕366号）公布的标准执行。住宿费按广东省物价管理部门批准实施的标准执行。参见各省（区、市）招生专业目录。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第九章 资助学生政策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第三十七条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学校设有奖学金、勤工助学岗位等资助政策，具体的国家助学贷款、奖学金、助学金等助学措施按照教育部、广东省教育厅和学校相关规定执行。学校另设有优秀新生奖学金，用于奖励高考成绩优异的新生。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第十章 招生工作咨询、监督与申诉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第三十八条 </w:t>
      </w:r>
      <w:r>
        <w:rPr>
          <w:rFonts w:hint="eastAsia" w:ascii="微软雅黑" w:hAnsi="微软雅黑" w:eastAsia="微软雅黑" w:cs="微软雅黑"/>
          <w:b w:val="0"/>
          <w:i w:val="0"/>
          <w:caps w:val="0"/>
          <w:color w:val="666666"/>
          <w:spacing w:val="0"/>
          <w:sz w:val="21"/>
          <w:szCs w:val="21"/>
          <w:bdr w:val="none" w:color="auto" w:sz="0" w:space="0"/>
          <w:shd w:val="clear" w:fill="FFFFFF"/>
        </w:rPr>
        <w:t> 招生咨询及联系方式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咨询电话：020-39322681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传真：020-39322680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电子邮箱：zsb@gdut.edu.cn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学校网址：http://www.gdut.edu.cn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招生网址：https://zsb.gdut.edu.cn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第三十九条 </w:t>
      </w:r>
      <w:r>
        <w:rPr>
          <w:rFonts w:hint="eastAsia" w:ascii="微软雅黑" w:hAnsi="微软雅黑" w:eastAsia="微软雅黑" w:cs="微软雅黑"/>
          <w:b w:val="0"/>
          <w:i w:val="0"/>
          <w:caps w:val="0"/>
          <w:color w:val="666666"/>
          <w:spacing w:val="0"/>
          <w:sz w:val="21"/>
          <w:szCs w:val="21"/>
          <w:bdr w:val="none" w:color="auto" w:sz="0" w:space="0"/>
          <w:shd w:val="clear" w:fill="FFFFFF"/>
        </w:rPr>
        <w:t> 学校纪委办公室、监察处负责监察、监督学校招生工作，并接受相关申诉。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联系人：李老师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监督电话：020-39322690，020-37626233（录取期间）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传真：020-39322067，020-37628404（录取期间）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电子邮箱：</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"mailto:jjb@gdut.edu.cn"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7"/>
          <w:rFonts w:hint="eastAsia" w:ascii="微软雅黑" w:hAnsi="微软雅黑" w:eastAsia="微软雅黑" w:cs="微软雅黑"/>
          <w:b w:val="0"/>
          <w:i w:val="0"/>
          <w:caps w:val="0"/>
          <w:color w:val="666666"/>
          <w:spacing w:val="0"/>
          <w:sz w:val="21"/>
          <w:szCs w:val="21"/>
          <w:u w:val="none"/>
          <w:shd w:val="clear" w:fill="FFFFFF"/>
        </w:rPr>
        <w:t>jjb@gdut.edu.cn</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第十一章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第四十条</w:t>
      </w:r>
      <w:r>
        <w:rPr>
          <w:rFonts w:hint="eastAsia" w:ascii="微软雅黑" w:hAnsi="微软雅黑" w:eastAsia="微软雅黑" w:cs="微软雅黑"/>
          <w:b w:val="0"/>
          <w:i w:val="0"/>
          <w:caps w:val="0"/>
          <w:color w:val="666666"/>
          <w:spacing w:val="0"/>
          <w:sz w:val="21"/>
          <w:szCs w:val="21"/>
          <w:bdr w:val="none" w:color="auto" w:sz="0" w:space="0"/>
          <w:shd w:val="clear" w:fill="FFFFFF"/>
        </w:rPr>
        <w:t>  本章程于2020年4月21日经学校校长办公会议讨论审查通过，适用于本校2020年夏季普通高考本科招生工作，自公布之日起施行。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第四十一条</w:t>
      </w:r>
      <w:r>
        <w:rPr>
          <w:rFonts w:hint="eastAsia" w:ascii="微软雅黑" w:hAnsi="微软雅黑" w:eastAsia="微软雅黑" w:cs="微软雅黑"/>
          <w:b w:val="0"/>
          <w:i w:val="0"/>
          <w:caps w:val="0"/>
          <w:color w:val="666666"/>
          <w:spacing w:val="0"/>
          <w:sz w:val="21"/>
          <w:szCs w:val="21"/>
          <w:bdr w:val="none" w:color="auto" w:sz="0" w:space="0"/>
          <w:shd w:val="clear" w:fill="FFFFFF"/>
        </w:rPr>
        <w:t>  本章程由广东工业大学授权广东工业大学招生办公室解释。本章程若与国家和各省（区、市）的规定不一致，则以国家和各省（区、市）的规定为准。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2020年广东工业大学高水平运动队招生简章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广东工业大学是经教育部批准具有试点举办高水平运动队资格的高校，布点项目为篮球、足球、乒乓球、网球。我校男子篮球队获得中国大学生篮球超级联赛三届全国总冠军和CUBA两届“东南赛区冠军”，女子篮球队多次获得省联赛冠军，足球队连续三年获得广东省“省长杯”足球联赛（大学组）冠军，乒乓球近几年参加全国大学生锦标赛多次获得团体前三及单打冠军，网球队也获得省赛季军。为了保持学校竞技体育的持续发展，选拔高水平学生运动员，培养德、智、体、美、劳全面发展的人才，丰富校园文化生活，2020年我校将继续招收高水平运动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一、招生计划与招生项目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2020年我校高水平运动队招生计划严格执行教育部的有关规定，总规模控制在我校上一年度普通本科招生计划总数的1％以内。各项目计划分配如下：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广东工业大学2020年高水平运动队各项目招生计划</w:t>
      </w:r>
    </w:p>
    <w:tbl>
      <w:tblPr>
        <w:tblW w:w="14385" w:type="dxa"/>
        <w:jc w:val="center"/>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2872"/>
        <w:gridCol w:w="2873"/>
        <w:gridCol w:w="2873"/>
        <w:gridCol w:w="2894"/>
        <w:gridCol w:w="2873"/>
      </w:tblGrid>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010" w:type="dxa"/>
            <w:vMerge w:val="restart"/>
            <w:tcBorders>
              <w:top w:val="single" w:color="CCCCCC" w:sz="6" w:space="0"/>
              <w:left w:val="single" w:color="CCCCCC" w:sz="6" w:space="0"/>
              <w:bottom w:val="single" w:color="CCCCCC" w:sz="6" w:space="0"/>
              <w:right w:val="single" w:color="CCCCCC" w:sz="6" w:space="0"/>
            </w:tcBorders>
            <w:shd w:val="clear"/>
            <w:tcMar>
              <w:lef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666666"/>
                <w:sz w:val="21"/>
                <w:szCs w:val="21"/>
              </w:rPr>
            </w:pPr>
            <w:r>
              <w:rPr>
                <w:rStyle w:val="6"/>
                <w:color w:val="666666"/>
                <w:sz w:val="21"/>
                <w:szCs w:val="21"/>
                <w:bdr w:val="none" w:color="auto" w:sz="0" w:space="0"/>
              </w:rPr>
              <w:t>项目</w:t>
            </w:r>
          </w:p>
        </w:tc>
        <w:tc>
          <w:tcPr>
            <w:tcW w:w="6045" w:type="dxa"/>
            <w:gridSpan w:val="3"/>
            <w:tcBorders>
              <w:top w:val="single" w:color="CCCCCC" w:sz="6" w:space="0"/>
              <w:left w:val="single" w:color="CCCCCC" w:sz="6" w:space="0"/>
              <w:bottom w:val="single" w:color="CCCCCC" w:sz="6" w:space="0"/>
              <w:right w:val="single" w:color="CCCCCC" w:sz="6" w:space="0"/>
            </w:tcBorders>
            <w:shd w:val="clear"/>
            <w:tcMar>
              <w:lef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666666"/>
                <w:sz w:val="21"/>
                <w:szCs w:val="21"/>
              </w:rPr>
            </w:pPr>
            <w:r>
              <w:rPr>
                <w:rStyle w:val="6"/>
                <w:color w:val="666666"/>
                <w:sz w:val="21"/>
                <w:szCs w:val="21"/>
                <w:bdr w:val="none" w:color="auto" w:sz="0" w:space="0"/>
              </w:rPr>
              <w:t>计划</w:t>
            </w:r>
          </w:p>
        </w:tc>
        <w:tc>
          <w:tcPr>
            <w:tcW w:w="2010" w:type="dxa"/>
            <w:vMerge w:val="restart"/>
            <w:tcBorders>
              <w:top w:val="single" w:color="CCCCCC" w:sz="6" w:space="0"/>
              <w:left w:val="single" w:color="CCCCCC" w:sz="6" w:space="0"/>
              <w:bottom w:val="single" w:color="CCCCCC" w:sz="6" w:space="0"/>
              <w:right w:val="single" w:color="CCCCCC" w:sz="6" w:space="0"/>
            </w:tcBorders>
            <w:shd w:val="clear"/>
            <w:tcMar>
              <w:lef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666666"/>
                <w:sz w:val="21"/>
                <w:szCs w:val="21"/>
              </w:rPr>
            </w:pPr>
            <w:r>
              <w:rPr>
                <w:rStyle w:val="6"/>
                <w:color w:val="666666"/>
                <w:sz w:val="21"/>
                <w:szCs w:val="21"/>
                <w:bdr w:val="none" w:color="auto" w:sz="0" w:space="0"/>
              </w:rPr>
              <w:t>总数</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jc w:val="center"/>
        </w:trPr>
        <w:tc>
          <w:tcPr>
            <w:tcW w:w="2010" w:type="dxa"/>
            <w:vMerge w:val="continue"/>
            <w:tcBorders>
              <w:top w:val="single" w:color="CCCCCC" w:sz="6" w:space="0"/>
              <w:left w:val="single" w:color="CCCCCC" w:sz="6" w:space="0"/>
              <w:bottom w:val="single" w:color="CCCCCC" w:sz="6" w:space="0"/>
              <w:right w:val="single" w:color="CCCCCC" w:sz="6" w:space="0"/>
            </w:tcBorders>
            <w:shd w:val="clear"/>
            <w:tcMar>
              <w:left w:w="75" w:type="dxa"/>
            </w:tcMar>
            <w:vAlign w:val="center"/>
          </w:tcPr>
          <w:p>
            <w:pPr>
              <w:jc w:val="center"/>
              <w:rPr>
                <w:rFonts w:hint="eastAsia" w:ascii="宋体"/>
                <w:sz w:val="21"/>
                <w:szCs w:val="21"/>
              </w:rPr>
            </w:pPr>
          </w:p>
        </w:tc>
        <w:tc>
          <w:tcPr>
            <w:tcW w:w="2010" w:type="dxa"/>
            <w:tcBorders>
              <w:top w:val="single" w:color="CCCCCC" w:sz="6" w:space="0"/>
              <w:left w:val="single" w:color="CCCCCC" w:sz="6" w:space="0"/>
              <w:bottom w:val="single" w:color="CCCCCC" w:sz="6" w:space="0"/>
              <w:right w:val="single" w:color="CCCCCC" w:sz="6" w:space="0"/>
            </w:tcBorders>
            <w:shd w:val="clear"/>
            <w:tcMar>
              <w:lef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666666"/>
                <w:sz w:val="21"/>
                <w:szCs w:val="21"/>
              </w:rPr>
            </w:pPr>
            <w:r>
              <w:rPr>
                <w:rStyle w:val="6"/>
                <w:color w:val="666666"/>
                <w:sz w:val="21"/>
                <w:szCs w:val="21"/>
                <w:bdr w:val="none" w:color="auto" w:sz="0" w:space="0"/>
              </w:rPr>
              <w:t>文化课单独考试</w:t>
            </w:r>
          </w:p>
        </w:tc>
        <w:tc>
          <w:tcPr>
            <w:tcW w:w="2010" w:type="dxa"/>
            <w:tcBorders>
              <w:top w:val="single" w:color="CCCCCC" w:sz="6" w:space="0"/>
              <w:left w:val="single" w:color="CCCCCC" w:sz="6" w:space="0"/>
              <w:bottom w:val="single" w:color="CCCCCC" w:sz="6" w:space="0"/>
              <w:right w:val="single" w:color="CCCCCC" w:sz="6" w:space="0"/>
            </w:tcBorders>
            <w:shd w:val="clear"/>
            <w:tcMar>
              <w:lef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666666"/>
                <w:sz w:val="21"/>
                <w:szCs w:val="21"/>
              </w:rPr>
            </w:pPr>
            <w:r>
              <w:rPr>
                <w:rStyle w:val="6"/>
                <w:color w:val="666666"/>
                <w:sz w:val="21"/>
                <w:szCs w:val="21"/>
                <w:bdr w:val="none" w:color="auto" w:sz="0" w:space="0"/>
              </w:rPr>
              <w:t>二本线65%</w:t>
            </w:r>
          </w:p>
        </w:tc>
        <w:tc>
          <w:tcPr>
            <w:tcW w:w="2010" w:type="dxa"/>
            <w:tcBorders>
              <w:top w:val="single" w:color="CCCCCC" w:sz="6" w:space="0"/>
              <w:left w:val="single" w:color="CCCCCC" w:sz="6" w:space="0"/>
              <w:bottom w:val="single" w:color="CCCCCC" w:sz="6" w:space="0"/>
              <w:right w:val="single" w:color="CCCCCC" w:sz="6" w:space="0"/>
            </w:tcBorders>
            <w:shd w:val="clear"/>
            <w:tcMar>
              <w:lef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666666"/>
                <w:sz w:val="21"/>
                <w:szCs w:val="21"/>
              </w:rPr>
            </w:pPr>
            <w:r>
              <w:rPr>
                <w:rStyle w:val="6"/>
                <w:color w:val="666666"/>
                <w:sz w:val="21"/>
                <w:szCs w:val="21"/>
                <w:bdr w:val="none" w:color="auto" w:sz="0" w:space="0"/>
              </w:rPr>
              <w:t>二本线</w:t>
            </w:r>
          </w:p>
        </w:tc>
        <w:tc>
          <w:tcPr>
            <w:tcW w:w="2010" w:type="dxa"/>
            <w:vMerge w:val="continue"/>
            <w:tcBorders>
              <w:top w:val="single" w:color="CCCCCC" w:sz="6" w:space="0"/>
              <w:left w:val="single" w:color="CCCCCC" w:sz="6" w:space="0"/>
              <w:bottom w:val="single" w:color="CCCCCC" w:sz="6" w:space="0"/>
              <w:right w:val="single" w:color="CCCCCC" w:sz="6" w:space="0"/>
            </w:tcBorders>
            <w:shd w:val="clear"/>
            <w:tcMar>
              <w:left w:w="75" w:type="dxa"/>
            </w:tcMar>
            <w:vAlign w:val="center"/>
          </w:tcPr>
          <w:p>
            <w:pPr>
              <w:jc w:val="center"/>
              <w:rPr>
                <w:rFonts w:hint="eastAsia" w:ascii="宋体"/>
                <w:sz w:val="21"/>
                <w:szCs w:val="21"/>
              </w:rPr>
            </w:pP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jc w:val="center"/>
        </w:trPr>
        <w:tc>
          <w:tcPr>
            <w:tcW w:w="2010" w:type="dxa"/>
            <w:tcBorders>
              <w:top w:val="single" w:color="CCCCCC" w:sz="6" w:space="0"/>
              <w:left w:val="single" w:color="CCCCCC" w:sz="6" w:space="0"/>
              <w:bottom w:val="single" w:color="CCCCCC" w:sz="6" w:space="0"/>
              <w:right w:val="single" w:color="CCCCCC" w:sz="6" w:space="0"/>
            </w:tcBorders>
            <w:shd w:val="clear"/>
            <w:tcMar>
              <w:lef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666666"/>
                <w:sz w:val="21"/>
                <w:szCs w:val="21"/>
              </w:rPr>
            </w:pPr>
            <w:r>
              <w:rPr>
                <w:rStyle w:val="6"/>
                <w:color w:val="666666"/>
                <w:sz w:val="21"/>
                <w:szCs w:val="21"/>
                <w:bdr w:val="none" w:color="auto" w:sz="0" w:space="0"/>
              </w:rPr>
              <w:t>男子篮球</w:t>
            </w:r>
          </w:p>
        </w:tc>
        <w:tc>
          <w:tcPr>
            <w:tcW w:w="2010" w:type="dxa"/>
            <w:tcBorders>
              <w:top w:val="single" w:color="CCCCCC" w:sz="6" w:space="0"/>
              <w:left w:val="single" w:color="CCCCCC" w:sz="6" w:space="0"/>
              <w:bottom w:val="single" w:color="CCCCCC" w:sz="6" w:space="0"/>
              <w:right w:val="single" w:color="CCCCCC" w:sz="6" w:space="0"/>
            </w:tcBorders>
            <w:shd w:val="clear"/>
            <w:tcMar>
              <w:lef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666666"/>
                <w:sz w:val="21"/>
                <w:szCs w:val="21"/>
              </w:rPr>
            </w:pPr>
            <w:r>
              <w:rPr>
                <w:rStyle w:val="6"/>
                <w:color w:val="666666"/>
                <w:sz w:val="21"/>
                <w:szCs w:val="21"/>
                <w:bdr w:val="none" w:color="auto" w:sz="0" w:space="0"/>
              </w:rPr>
              <w:t>0-5</w:t>
            </w:r>
          </w:p>
        </w:tc>
        <w:tc>
          <w:tcPr>
            <w:tcW w:w="2010" w:type="dxa"/>
            <w:tcBorders>
              <w:top w:val="single" w:color="CCCCCC" w:sz="6" w:space="0"/>
              <w:left w:val="single" w:color="CCCCCC" w:sz="6" w:space="0"/>
              <w:bottom w:val="single" w:color="CCCCCC" w:sz="6" w:space="0"/>
              <w:right w:val="single" w:color="CCCCCC" w:sz="6" w:space="0"/>
            </w:tcBorders>
            <w:shd w:val="clear"/>
            <w:tcMar>
              <w:left w:w="75" w:type="dxa"/>
            </w:tcMar>
            <w:vAlign w:val="center"/>
          </w:tcPr>
          <w:p>
            <w:pPr>
              <w:keepNext w:val="0"/>
              <w:keepLines w:val="0"/>
              <w:widowControl/>
              <w:suppressLineNumbers w:val="0"/>
              <w:spacing w:line="525" w:lineRule="atLeast"/>
              <w:jc w:val="center"/>
              <w:rPr>
                <w:sz w:val="21"/>
                <w:szCs w:val="21"/>
              </w:rPr>
            </w:pPr>
          </w:p>
        </w:tc>
        <w:tc>
          <w:tcPr>
            <w:tcW w:w="2010" w:type="dxa"/>
            <w:tcBorders>
              <w:top w:val="single" w:color="CCCCCC" w:sz="6" w:space="0"/>
              <w:left w:val="single" w:color="CCCCCC" w:sz="6" w:space="0"/>
              <w:bottom w:val="single" w:color="CCCCCC" w:sz="6" w:space="0"/>
              <w:right w:val="single" w:color="CCCCCC" w:sz="6" w:space="0"/>
            </w:tcBorders>
            <w:shd w:val="clear"/>
            <w:tcMar>
              <w:left w:w="75" w:type="dxa"/>
            </w:tcMar>
            <w:vAlign w:val="center"/>
          </w:tcPr>
          <w:p>
            <w:pPr>
              <w:keepNext w:val="0"/>
              <w:keepLines w:val="0"/>
              <w:widowControl/>
              <w:suppressLineNumbers w:val="0"/>
              <w:spacing w:line="525" w:lineRule="atLeast"/>
              <w:jc w:val="center"/>
              <w:rPr>
                <w:sz w:val="21"/>
                <w:szCs w:val="21"/>
              </w:rPr>
            </w:pPr>
          </w:p>
        </w:tc>
        <w:tc>
          <w:tcPr>
            <w:tcW w:w="2010" w:type="dxa"/>
            <w:tcBorders>
              <w:top w:val="single" w:color="CCCCCC" w:sz="6" w:space="0"/>
              <w:left w:val="single" w:color="CCCCCC" w:sz="6" w:space="0"/>
              <w:bottom w:val="single" w:color="CCCCCC" w:sz="6" w:space="0"/>
              <w:right w:val="single" w:color="CCCCCC" w:sz="6" w:space="0"/>
            </w:tcBorders>
            <w:shd w:val="clear"/>
            <w:tcMar>
              <w:lef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666666"/>
                <w:sz w:val="21"/>
                <w:szCs w:val="21"/>
              </w:rPr>
            </w:pPr>
            <w:r>
              <w:rPr>
                <w:rStyle w:val="6"/>
                <w:color w:val="666666"/>
                <w:sz w:val="21"/>
                <w:szCs w:val="21"/>
                <w:bdr w:val="none" w:color="auto" w:sz="0" w:space="0"/>
              </w:rPr>
              <w:t>0-5</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jc w:val="center"/>
        </w:trPr>
        <w:tc>
          <w:tcPr>
            <w:tcW w:w="2010" w:type="dxa"/>
            <w:tcBorders>
              <w:top w:val="single" w:color="CCCCCC" w:sz="6" w:space="0"/>
              <w:left w:val="single" w:color="CCCCCC" w:sz="6" w:space="0"/>
              <w:bottom w:val="single" w:color="CCCCCC" w:sz="6" w:space="0"/>
              <w:right w:val="single" w:color="CCCCCC" w:sz="6" w:space="0"/>
            </w:tcBorders>
            <w:shd w:val="clear"/>
            <w:tcMar>
              <w:lef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666666"/>
                <w:sz w:val="21"/>
                <w:szCs w:val="21"/>
              </w:rPr>
            </w:pPr>
            <w:r>
              <w:rPr>
                <w:rStyle w:val="6"/>
                <w:color w:val="666666"/>
                <w:sz w:val="21"/>
                <w:szCs w:val="21"/>
                <w:bdr w:val="none" w:color="auto" w:sz="0" w:space="0"/>
              </w:rPr>
              <w:t>女子篮球</w:t>
            </w:r>
          </w:p>
        </w:tc>
        <w:tc>
          <w:tcPr>
            <w:tcW w:w="2010" w:type="dxa"/>
            <w:tcBorders>
              <w:top w:val="single" w:color="CCCCCC" w:sz="6" w:space="0"/>
              <w:left w:val="single" w:color="CCCCCC" w:sz="6" w:space="0"/>
              <w:bottom w:val="single" w:color="CCCCCC" w:sz="6" w:space="0"/>
              <w:right w:val="single" w:color="CCCCCC" w:sz="6" w:space="0"/>
            </w:tcBorders>
            <w:shd w:val="clear"/>
            <w:tcMar>
              <w:lef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666666"/>
                <w:sz w:val="21"/>
                <w:szCs w:val="21"/>
              </w:rPr>
            </w:pPr>
            <w:r>
              <w:rPr>
                <w:rStyle w:val="6"/>
                <w:color w:val="666666"/>
                <w:sz w:val="21"/>
                <w:szCs w:val="21"/>
                <w:bdr w:val="none" w:color="auto" w:sz="0" w:space="0"/>
              </w:rPr>
              <w:t>0-1</w:t>
            </w:r>
          </w:p>
        </w:tc>
        <w:tc>
          <w:tcPr>
            <w:tcW w:w="2010" w:type="dxa"/>
            <w:tcBorders>
              <w:top w:val="single" w:color="CCCCCC" w:sz="6" w:space="0"/>
              <w:left w:val="single" w:color="CCCCCC" w:sz="6" w:space="0"/>
              <w:bottom w:val="single" w:color="CCCCCC" w:sz="6" w:space="0"/>
              <w:right w:val="single" w:color="CCCCCC" w:sz="6" w:space="0"/>
            </w:tcBorders>
            <w:shd w:val="clear"/>
            <w:tcMar>
              <w:lef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666666"/>
                <w:sz w:val="21"/>
                <w:szCs w:val="21"/>
              </w:rPr>
            </w:pPr>
            <w:r>
              <w:rPr>
                <w:rStyle w:val="6"/>
                <w:color w:val="666666"/>
                <w:sz w:val="21"/>
                <w:szCs w:val="21"/>
                <w:bdr w:val="none" w:color="auto" w:sz="0" w:space="0"/>
              </w:rPr>
              <w:t>0-4</w:t>
            </w:r>
          </w:p>
        </w:tc>
        <w:tc>
          <w:tcPr>
            <w:tcW w:w="2010" w:type="dxa"/>
            <w:tcBorders>
              <w:top w:val="single" w:color="CCCCCC" w:sz="6" w:space="0"/>
              <w:left w:val="single" w:color="CCCCCC" w:sz="6" w:space="0"/>
              <w:bottom w:val="single" w:color="CCCCCC" w:sz="6" w:space="0"/>
              <w:right w:val="single" w:color="CCCCCC" w:sz="6" w:space="0"/>
            </w:tcBorders>
            <w:shd w:val="clear"/>
            <w:tcMar>
              <w:left w:w="75" w:type="dxa"/>
            </w:tcMar>
            <w:vAlign w:val="center"/>
          </w:tcPr>
          <w:p>
            <w:pPr>
              <w:keepNext w:val="0"/>
              <w:keepLines w:val="0"/>
              <w:widowControl/>
              <w:suppressLineNumbers w:val="0"/>
              <w:spacing w:line="525" w:lineRule="atLeast"/>
              <w:jc w:val="center"/>
              <w:rPr>
                <w:sz w:val="21"/>
                <w:szCs w:val="21"/>
              </w:rPr>
            </w:pPr>
          </w:p>
        </w:tc>
        <w:tc>
          <w:tcPr>
            <w:tcW w:w="2010" w:type="dxa"/>
            <w:tcBorders>
              <w:top w:val="single" w:color="CCCCCC" w:sz="6" w:space="0"/>
              <w:left w:val="single" w:color="CCCCCC" w:sz="6" w:space="0"/>
              <w:bottom w:val="single" w:color="CCCCCC" w:sz="6" w:space="0"/>
              <w:right w:val="single" w:color="CCCCCC" w:sz="6" w:space="0"/>
            </w:tcBorders>
            <w:shd w:val="clear"/>
            <w:tcMar>
              <w:lef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666666"/>
                <w:sz w:val="21"/>
                <w:szCs w:val="21"/>
              </w:rPr>
            </w:pPr>
            <w:r>
              <w:rPr>
                <w:rStyle w:val="6"/>
                <w:color w:val="666666"/>
                <w:sz w:val="21"/>
                <w:szCs w:val="21"/>
                <w:bdr w:val="none" w:color="auto" w:sz="0" w:space="0"/>
              </w:rPr>
              <w:t>0-5</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jc w:val="center"/>
        </w:trPr>
        <w:tc>
          <w:tcPr>
            <w:tcW w:w="2010" w:type="dxa"/>
            <w:tcBorders>
              <w:top w:val="single" w:color="CCCCCC" w:sz="6" w:space="0"/>
              <w:left w:val="single" w:color="CCCCCC" w:sz="6" w:space="0"/>
              <w:bottom w:val="single" w:color="CCCCCC" w:sz="6" w:space="0"/>
              <w:right w:val="single" w:color="CCCCCC" w:sz="6" w:space="0"/>
            </w:tcBorders>
            <w:shd w:val="clear"/>
            <w:tcMar>
              <w:lef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666666"/>
                <w:sz w:val="21"/>
                <w:szCs w:val="21"/>
              </w:rPr>
            </w:pPr>
            <w:r>
              <w:rPr>
                <w:rStyle w:val="6"/>
                <w:color w:val="666666"/>
                <w:sz w:val="21"/>
                <w:szCs w:val="21"/>
                <w:bdr w:val="none" w:color="auto" w:sz="0" w:space="0"/>
              </w:rPr>
              <w:t>男子足球</w:t>
            </w:r>
          </w:p>
        </w:tc>
        <w:tc>
          <w:tcPr>
            <w:tcW w:w="2010" w:type="dxa"/>
            <w:tcBorders>
              <w:top w:val="single" w:color="CCCCCC" w:sz="6" w:space="0"/>
              <w:left w:val="single" w:color="CCCCCC" w:sz="6" w:space="0"/>
              <w:bottom w:val="single" w:color="CCCCCC" w:sz="6" w:space="0"/>
              <w:right w:val="single" w:color="CCCCCC" w:sz="6" w:space="0"/>
            </w:tcBorders>
            <w:shd w:val="clear"/>
            <w:tcMar>
              <w:lef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666666"/>
                <w:sz w:val="21"/>
                <w:szCs w:val="21"/>
              </w:rPr>
            </w:pPr>
            <w:r>
              <w:rPr>
                <w:rStyle w:val="6"/>
                <w:color w:val="666666"/>
                <w:sz w:val="21"/>
                <w:szCs w:val="21"/>
                <w:bdr w:val="none" w:color="auto" w:sz="0" w:space="0"/>
              </w:rPr>
              <w:t>0-5</w:t>
            </w:r>
          </w:p>
        </w:tc>
        <w:tc>
          <w:tcPr>
            <w:tcW w:w="2010" w:type="dxa"/>
            <w:tcBorders>
              <w:top w:val="single" w:color="CCCCCC" w:sz="6" w:space="0"/>
              <w:left w:val="single" w:color="CCCCCC" w:sz="6" w:space="0"/>
              <w:bottom w:val="single" w:color="CCCCCC" w:sz="6" w:space="0"/>
              <w:right w:val="single" w:color="CCCCCC" w:sz="6" w:space="0"/>
            </w:tcBorders>
            <w:shd w:val="clear"/>
            <w:tcMar>
              <w:lef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666666"/>
                <w:sz w:val="21"/>
                <w:szCs w:val="21"/>
              </w:rPr>
            </w:pPr>
            <w:r>
              <w:rPr>
                <w:rStyle w:val="6"/>
                <w:color w:val="666666"/>
                <w:sz w:val="21"/>
                <w:szCs w:val="21"/>
                <w:bdr w:val="none" w:color="auto" w:sz="0" w:space="0"/>
              </w:rPr>
              <w:t>0-3</w:t>
            </w:r>
          </w:p>
        </w:tc>
        <w:tc>
          <w:tcPr>
            <w:tcW w:w="2010" w:type="dxa"/>
            <w:vMerge w:val="restart"/>
            <w:tcBorders>
              <w:top w:val="single" w:color="CCCCCC" w:sz="6" w:space="0"/>
              <w:left w:val="single" w:color="CCCCCC" w:sz="6" w:space="0"/>
              <w:bottom w:val="single" w:color="CCCCCC" w:sz="6" w:space="0"/>
              <w:right w:val="single" w:color="CCCCCC" w:sz="6" w:space="0"/>
            </w:tcBorders>
            <w:shd w:val="clear"/>
            <w:tcMar>
              <w:lef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666666"/>
                <w:sz w:val="21"/>
                <w:szCs w:val="21"/>
              </w:rPr>
            </w:pPr>
            <w:r>
              <w:rPr>
                <w:rStyle w:val="6"/>
                <w:color w:val="666666"/>
                <w:sz w:val="21"/>
                <w:szCs w:val="21"/>
                <w:bdr w:val="none" w:color="auto" w:sz="0" w:space="0"/>
              </w:rPr>
              <w:t>0-1</w:t>
            </w:r>
          </w:p>
        </w:tc>
        <w:tc>
          <w:tcPr>
            <w:tcW w:w="2010" w:type="dxa"/>
            <w:vMerge w:val="restart"/>
            <w:tcBorders>
              <w:top w:val="single" w:color="CCCCCC" w:sz="6" w:space="0"/>
              <w:left w:val="single" w:color="CCCCCC" w:sz="6" w:space="0"/>
              <w:bottom w:val="single" w:color="CCCCCC" w:sz="6" w:space="0"/>
              <w:right w:val="single" w:color="CCCCCC" w:sz="6" w:space="0"/>
            </w:tcBorders>
            <w:shd w:val="clear"/>
            <w:tcMar>
              <w:lef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666666"/>
                <w:sz w:val="21"/>
                <w:szCs w:val="21"/>
              </w:rPr>
            </w:pPr>
            <w:r>
              <w:rPr>
                <w:rStyle w:val="6"/>
                <w:color w:val="666666"/>
                <w:sz w:val="21"/>
                <w:szCs w:val="21"/>
                <w:bdr w:val="none" w:color="auto" w:sz="0" w:space="0"/>
              </w:rPr>
              <w:t>0-11</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jc w:val="center"/>
        </w:trPr>
        <w:tc>
          <w:tcPr>
            <w:tcW w:w="2010" w:type="dxa"/>
            <w:tcBorders>
              <w:top w:val="single" w:color="CCCCCC" w:sz="6" w:space="0"/>
              <w:left w:val="single" w:color="CCCCCC" w:sz="6" w:space="0"/>
              <w:bottom w:val="single" w:color="CCCCCC" w:sz="6" w:space="0"/>
              <w:right w:val="single" w:color="CCCCCC" w:sz="6" w:space="0"/>
            </w:tcBorders>
            <w:shd w:val="clear"/>
            <w:tcMar>
              <w:lef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666666"/>
                <w:sz w:val="21"/>
                <w:szCs w:val="21"/>
              </w:rPr>
            </w:pPr>
            <w:r>
              <w:rPr>
                <w:rStyle w:val="6"/>
                <w:color w:val="666666"/>
                <w:sz w:val="21"/>
                <w:szCs w:val="21"/>
                <w:bdr w:val="none" w:color="auto" w:sz="0" w:space="0"/>
              </w:rPr>
              <w:t>男子足球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666666"/>
                <w:sz w:val="21"/>
                <w:szCs w:val="21"/>
              </w:rPr>
            </w:pPr>
            <w:r>
              <w:rPr>
                <w:rStyle w:val="6"/>
                <w:color w:val="666666"/>
                <w:sz w:val="21"/>
                <w:szCs w:val="21"/>
                <w:bdr w:val="none" w:color="auto" w:sz="0" w:space="0"/>
              </w:rPr>
              <w:t>（守门员）</w:t>
            </w:r>
          </w:p>
        </w:tc>
        <w:tc>
          <w:tcPr>
            <w:tcW w:w="2010" w:type="dxa"/>
            <w:tcBorders>
              <w:top w:val="single" w:color="CCCCCC" w:sz="6" w:space="0"/>
              <w:left w:val="single" w:color="CCCCCC" w:sz="6" w:space="0"/>
              <w:bottom w:val="single" w:color="CCCCCC" w:sz="6" w:space="0"/>
              <w:right w:val="single" w:color="CCCCCC" w:sz="6" w:space="0"/>
            </w:tcBorders>
            <w:shd w:val="clear"/>
            <w:tcMar>
              <w:lef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666666"/>
                <w:sz w:val="21"/>
                <w:szCs w:val="21"/>
              </w:rPr>
            </w:pPr>
            <w:r>
              <w:rPr>
                <w:rStyle w:val="6"/>
                <w:color w:val="666666"/>
                <w:sz w:val="21"/>
                <w:szCs w:val="21"/>
                <w:bdr w:val="none" w:color="auto" w:sz="0" w:space="0"/>
              </w:rPr>
              <w:t>0-1</w:t>
            </w:r>
          </w:p>
        </w:tc>
        <w:tc>
          <w:tcPr>
            <w:tcW w:w="2010" w:type="dxa"/>
            <w:tcBorders>
              <w:top w:val="single" w:color="CCCCCC" w:sz="6" w:space="0"/>
              <w:left w:val="single" w:color="CCCCCC" w:sz="6" w:space="0"/>
              <w:bottom w:val="single" w:color="CCCCCC" w:sz="6" w:space="0"/>
              <w:right w:val="single" w:color="CCCCCC" w:sz="6" w:space="0"/>
            </w:tcBorders>
            <w:shd w:val="clear"/>
            <w:tcMar>
              <w:lef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666666"/>
                <w:sz w:val="21"/>
                <w:szCs w:val="21"/>
              </w:rPr>
            </w:pPr>
            <w:r>
              <w:rPr>
                <w:rStyle w:val="6"/>
                <w:color w:val="666666"/>
                <w:sz w:val="21"/>
                <w:szCs w:val="21"/>
                <w:bdr w:val="none" w:color="auto" w:sz="0" w:space="0"/>
              </w:rPr>
              <w:t>0-1</w:t>
            </w:r>
          </w:p>
        </w:tc>
        <w:tc>
          <w:tcPr>
            <w:tcW w:w="2010" w:type="dxa"/>
            <w:vMerge w:val="continue"/>
            <w:tcBorders>
              <w:top w:val="single" w:color="CCCCCC" w:sz="6" w:space="0"/>
              <w:left w:val="single" w:color="CCCCCC" w:sz="6" w:space="0"/>
              <w:bottom w:val="single" w:color="CCCCCC" w:sz="6" w:space="0"/>
              <w:right w:val="single" w:color="CCCCCC" w:sz="6" w:space="0"/>
            </w:tcBorders>
            <w:shd w:val="clear"/>
            <w:tcMar>
              <w:left w:w="75" w:type="dxa"/>
            </w:tcMar>
            <w:vAlign w:val="center"/>
          </w:tcPr>
          <w:p>
            <w:pPr>
              <w:jc w:val="center"/>
              <w:rPr>
                <w:rFonts w:hint="eastAsia" w:ascii="宋体"/>
                <w:sz w:val="21"/>
                <w:szCs w:val="21"/>
              </w:rPr>
            </w:pPr>
          </w:p>
        </w:tc>
        <w:tc>
          <w:tcPr>
            <w:tcW w:w="2010" w:type="dxa"/>
            <w:vMerge w:val="continue"/>
            <w:tcBorders>
              <w:top w:val="single" w:color="CCCCCC" w:sz="6" w:space="0"/>
              <w:left w:val="single" w:color="CCCCCC" w:sz="6" w:space="0"/>
              <w:bottom w:val="single" w:color="CCCCCC" w:sz="6" w:space="0"/>
              <w:right w:val="single" w:color="CCCCCC" w:sz="6" w:space="0"/>
            </w:tcBorders>
            <w:shd w:val="clear"/>
            <w:tcMar>
              <w:left w:w="75" w:type="dxa"/>
            </w:tcMar>
            <w:vAlign w:val="center"/>
          </w:tcPr>
          <w:p>
            <w:pPr>
              <w:jc w:val="center"/>
              <w:rPr>
                <w:rFonts w:hint="eastAsia" w:ascii="宋体"/>
                <w:sz w:val="21"/>
                <w:szCs w:val="21"/>
              </w:rPr>
            </w:pP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jc w:val="center"/>
        </w:trPr>
        <w:tc>
          <w:tcPr>
            <w:tcW w:w="2010" w:type="dxa"/>
            <w:tcBorders>
              <w:top w:val="single" w:color="CCCCCC" w:sz="6" w:space="0"/>
              <w:left w:val="single" w:color="CCCCCC" w:sz="6" w:space="0"/>
              <w:bottom w:val="single" w:color="CCCCCC" w:sz="6" w:space="0"/>
              <w:right w:val="single" w:color="CCCCCC" w:sz="6" w:space="0"/>
            </w:tcBorders>
            <w:shd w:val="clear"/>
            <w:tcMar>
              <w:lef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666666"/>
                <w:sz w:val="21"/>
                <w:szCs w:val="21"/>
              </w:rPr>
            </w:pPr>
            <w:r>
              <w:rPr>
                <w:rStyle w:val="6"/>
                <w:color w:val="666666"/>
                <w:sz w:val="21"/>
                <w:szCs w:val="21"/>
                <w:bdr w:val="none" w:color="auto" w:sz="0" w:space="0"/>
              </w:rPr>
              <w:t>男子乒乓球</w:t>
            </w:r>
          </w:p>
        </w:tc>
        <w:tc>
          <w:tcPr>
            <w:tcW w:w="2010" w:type="dxa"/>
            <w:tcBorders>
              <w:top w:val="single" w:color="CCCCCC" w:sz="6" w:space="0"/>
              <w:left w:val="single" w:color="CCCCCC" w:sz="6" w:space="0"/>
              <w:bottom w:val="single" w:color="CCCCCC" w:sz="6" w:space="0"/>
              <w:right w:val="single" w:color="CCCCCC" w:sz="6" w:space="0"/>
            </w:tcBorders>
            <w:shd w:val="clear"/>
            <w:tcMar>
              <w:lef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666666"/>
                <w:sz w:val="21"/>
                <w:szCs w:val="21"/>
              </w:rPr>
            </w:pPr>
            <w:r>
              <w:rPr>
                <w:rStyle w:val="6"/>
                <w:color w:val="666666"/>
                <w:sz w:val="21"/>
                <w:szCs w:val="21"/>
                <w:bdr w:val="none" w:color="auto" w:sz="0" w:space="0"/>
              </w:rPr>
              <w:t>0-2</w:t>
            </w:r>
          </w:p>
        </w:tc>
        <w:tc>
          <w:tcPr>
            <w:tcW w:w="2010" w:type="dxa"/>
            <w:tcBorders>
              <w:top w:val="single" w:color="CCCCCC" w:sz="6" w:space="0"/>
              <w:left w:val="single" w:color="CCCCCC" w:sz="6" w:space="0"/>
              <w:bottom w:val="single" w:color="CCCCCC" w:sz="6" w:space="0"/>
              <w:right w:val="single" w:color="CCCCCC" w:sz="6" w:space="0"/>
            </w:tcBorders>
            <w:shd w:val="clear"/>
            <w:tcMar>
              <w:lef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666666"/>
                <w:sz w:val="21"/>
                <w:szCs w:val="21"/>
              </w:rPr>
            </w:pPr>
            <w:r>
              <w:rPr>
                <w:rStyle w:val="6"/>
                <w:color w:val="666666"/>
                <w:sz w:val="21"/>
                <w:szCs w:val="21"/>
                <w:bdr w:val="none" w:color="auto" w:sz="0" w:space="0"/>
              </w:rPr>
              <w:t>0-4</w:t>
            </w:r>
          </w:p>
        </w:tc>
        <w:tc>
          <w:tcPr>
            <w:tcW w:w="2010" w:type="dxa"/>
            <w:tcBorders>
              <w:top w:val="single" w:color="CCCCCC" w:sz="6" w:space="0"/>
              <w:left w:val="single" w:color="CCCCCC" w:sz="6" w:space="0"/>
              <w:bottom w:val="single" w:color="CCCCCC" w:sz="6" w:space="0"/>
              <w:right w:val="single" w:color="CCCCCC" w:sz="6" w:space="0"/>
            </w:tcBorders>
            <w:shd w:val="clear"/>
            <w:tcMar>
              <w:lef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666666"/>
                <w:sz w:val="21"/>
                <w:szCs w:val="21"/>
              </w:rPr>
            </w:pPr>
            <w:r>
              <w:rPr>
                <w:rStyle w:val="6"/>
                <w:color w:val="666666"/>
                <w:sz w:val="21"/>
                <w:szCs w:val="21"/>
                <w:bdr w:val="none" w:color="auto" w:sz="0" w:space="0"/>
              </w:rPr>
              <w:t>0-11</w:t>
            </w:r>
          </w:p>
        </w:tc>
        <w:tc>
          <w:tcPr>
            <w:tcW w:w="2010" w:type="dxa"/>
            <w:tcBorders>
              <w:top w:val="single" w:color="CCCCCC" w:sz="6" w:space="0"/>
              <w:left w:val="single" w:color="CCCCCC" w:sz="6" w:space="0"/>
              <w:bottom w:val="single" w:color="CCCCCC" w:sz="6" w:space="0"/>
              <w:right w:val="single" w:color="CCCCCC" w:sz="6" w:space="0"/>
            </w:tcBorders>
            <w:shd w:val="clear"/>
            <w:tcMar>
              <w:lef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666666"/>
                <w:sz w:val="21"/>
                <w:szCs w:val="21"/>
              </w:rPr>
            </w:pPr>
            <w:r>
              <w:rPr>
                <w:rStyle w:val="6"/>
                <w:color w:val="666666"/>
                <w:sz w:val="21"/>
                <w:szCs w:val="21"/>
                <w:bdr w:val="none" w:color="auto" w:sz="0" w:space="0"/>
              </w:rPr>
              <w:t>0-17</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jc w:val="center"/>
        </w:trPr>
        <w:tc>
          <w:tcPr>
            <w:tcW w:w="2010" w:type="dxa"/>
            <w:tcBorders>
              <w:top w:val="single" w:color="CCCCCC" w:sz="6" w:space="0"/>
              <w:left w:val="single" w:color="CCCCCC" w:sz="6" w:space="0"/>
              <w:bottom w:val="single" w:color="CCCCCC" w:sz="6" w:space="0"/>
              <w:right w:val="single" w:color="CCCCCC" w:sz="6" w:space="0"/>
            </w:tcBorders>
            <w:shd w:val="clear"/>
            <w:tcMar>
              <w:lef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666666"/>
                <w:sz w:val="21"/>
                <w:szCs w:val="21"/>
              </w:rPr>
            </w:pPr>
            <w:r>
              <w:rPr>
                <w:rStyle w:val="6"/>
                <w:color w:val="666666"/>
                <w:sz w:val="21"/>
                <w:szCs w:val="21"/>
                <w:bdr w:val="none" w:color="auto" w:sz="0" w:space="0"/>
              </w:rPr>
              <w:t>女子乒乓球</w:t>
            </w:r>
          </w:p>
        </w:tc>
        <w:tc>
          <w:tcPr>
            <w:tcW w:w="2010" w:type="dxa"/>
            <w:tcBorders>
              <w:top w:val="single" w:color="CCCCCC" w:sz="6" w:space="0"/>
              <w:left w:val="single" w:color="CCCCCC" w:sz="6" w:space="0"/>
              <w:bottom w:val="single" w:color="CCCCCC" w:sz="6" w:space="0"/>
              <w:right w:val="single" w:color="CCCCCC" w:sz="6" w:space="0"/>
            </w:tcBorders>
            <w:shd w:val="clear"/>
            <w:tcMar>
              <w:lef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666666"/>
                <w:sz w:val="21"/>
                <w:szCs w:val="21"/>
              </w:rPr>
            </w:pPr>
            <w:r>
              <w:rPr>
                <w:rStyle w:val="6"/>
                <w:color w:val="666666"/>
                <w:sz w:val="21"/>
                <w:szCs w:val="21"/>
                <w:bdr w:val="none" w:color="auto" w:sz="0" w:space="0"/>
              </w:rPr>
              <w:t>0-1</w:t>
            </w:r>
          </w:p>
        </w:tc>
        <w:tc>
          <w:tcPr>
            <w:tcW w:w="2010" w:type="dxa"/>
            <w:tcBorders>
              <w:top w:val="single" w:color="CCCCCC" w:sz="6" w:space="0"/>
              <w:left w:val="single" w:color="CCCCCC" w:sz="6" w:space="0"/>
              <w:bottom w:val="single" w:color="CCCCCC" w:sz="6" w:space="0"/>
              <w:right w:val="single" w:color="CCCCCC" w:sz="6" w:space="0"/>
            </w:tcBorders>
            <w:shd w:val="clear"/>
            <w:tcMar>
              <w:lef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666666"/>
                <w:sz w:val="21"/>
                <w:szCs w:val="21"/>
              </w:rPr>
            </w:pPr>
            <w:r>
              <w:rPr>
                <w:rStyle w:val="6"/>
                <w:color w:val="666666"/>
                <w:sz w:val="21"/>
                <w:szCs w:val="21"/>
                <w:bdr w:val="none" w:color="auto" w:sz="0" w:space="0"/>
              </w:rPr>
              <w:t>0-2</w:t>
            </w:r>
          </w:p>
        </w:tc>
        <w:tc>
          <w:tcPr>
            <w:tcW w:w="2010" w:type="dxa"/>
            <w:tcBorders>
              <w:top w:val="single" w:color="CCCCCC" w:sz="6" w:space="0"/>
              <w:left w:val="single" w:color="CCCCCC" w:sz="6" w:space="0"/>
              <w:bottom w:val="single" w:color="CCCCCC" w:sz="6" w:space="0"/>
              <w:right w:val="single" w:color="CCCCCC" w:sz="6" w:space="0"/>
            </w:tcBorders>
            <w:shd w:val="clear"/>
            <w:tcMar>
              <w:lef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666666"/>
                <w:sz w:val="21"/>
                <w:szCs w:val="21"/>
              </w:rPr>
            </w:pPr>
            <w:r>
              <w:rPr>
                <w:rStyle w:val="6"/>
                <w:color w:val="666666"/>
                <w:sz w:val="21"/>
                <w:szCs w:val="21"/>
                <w:bdr w:val="none" w:color="auto" w:sz="0" w:space="0"/>
              </w:rPr>
              <w:t>0-10</w:t>
            </w:r>
          </w:p>
        </w:tc>
        <w:tc>
          <w:tcPr>
            <w:tcW w:w="2010" w:type="dxa"/>
            <w:tcBorders>
              <w:top w:val="single" w:color="CCCCCC" w:sz="6" w:space="0"/>
              <w:left w:val="single" w:color="CCCCCC" w:sz="6" w:space="0"/>
              <w:bottom w:val="single" w:color="CCCCCC" w:sz="6" w:space="0"/>
              <w:right w:val="single" w:color="CCCCCC" w:sz="6" w:space="0"/>
            </w:tcBorders>
            <w:shd w:val="clear"/>
            <w:tcMar>
              <w:lef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666666"/>
                <w:sz w:val="21"/>
                <w:szCs w:val="21"/>
              </w:rPr>
            </w:pPr>
            <w:r>
              <w:rPr>
                <w:rStyle w:val="6"/>
                <w:color w:val="666666"/>
                <w:sz w:val="21"/>
                <w:szCs w:val="21"/>
                <w:bdr w:val="none" w:color="auto" w:sz="0" w:space="0"/>
              </w:rPr>
              <w:t>0-13</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jc w:val="center"/>
        </w:trPr>
        <w:tc>
          <w:tcPr>
            <w:tcW w:w="2010" w:type="dxa"/>
            <w:tcBorders>
              <w:top w:val="single" w:color="CCCCCC" w:sz="6" w:space="0"/>
              <w:left w:val="single" w:color="CCCCCC" w:sz="6" w:space="0"/>
              <w:bottom w:val="single" w:color="CCCCCC" w:sz="6" w:space="0"/>
              <w:right w:val="single" w:color="CCCCCC" w:sz="6" w:space="0"/>
            </w:tcBorders>
            <w:shd w:val="clear"/>
            <w:tcMar>
              <w:lef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666666"/>
                <w:sz w:val="21"/>
                <w:szCs w:val="21"/>
              </w:rPr>
            </w:pPr>
            <w:r>
              <w:rPr>
                <w:rStyle w:val="6"/>
                <w:color w:val="666666"/>
                <w:sz w:val="21"/>
                <w:szCs w:val="21"/>
                <w:bdr w:val="none" w:color="auto" w:sz="0" w:space="0"/>
              </w:rPr>
              <w:t>男子网球</w:t>
            </w:r>
          </w:p>
        </w:tc>
        <w:tc>
          <w:tcPr>
            <w:tcW w:w="2010" w:type="dxa"/>
            <w:tcBorders>
              <w:top w:val="single" w:color="CCCCCC" w:sz="6" w:space="0"/>
              <w:left w:val="single" w:color="CCCCCC" w:sz="6" w:space="0"/>
              <w:bottom w:val="single" w:color="CCCCCC" w:sz="6" w:space="0"/>
              <w:right w:val="single" w:color="CCCCCC" w:sz="6" w:space="0"/>
            </w:tcBorders>
            <w:shd w:val="clear"/>
            <w:tcMar>
              <w:left w:w="75" w:type="dxa"/>
            </w:tcMar>
            <w:vAlign w:val="center"/>
          </w:tcPr>
          <w:p>
            <w:pPr>
              <w:keepNext w:val="0"/>
              <w:keepLines w:val="0"/>
              <w:widowControl/>
              <w:suppressLineNumbers w:val="0"/>
              <w:spacing w:line="525" w:lineRule="atLeast"/>
              <w:jc w:val="center"/>
              <w:rPr>
                <w:sz w:val="21"/>
                <w:szCs w:val="21"/>
              </w:rPr>
            </w:pPr>
          </w:p>
        </w:tc>
        <w:tc>
          <w:tcPr>
            <w:tcW w:w="2010" w:type="dxa"/>
            <w:tcBorders>
              <w:top w:val="single" w:color="CCCCCC" w:sz="6" w:space="0"/>
              <w:left w:val="single" w:color="CCCCCC" w:sz="6" w:space="0"/>
              <w:bottom w:val="single" w:color="CCCCCC" w:sz="6" w:space="0"/>
              <w:right w:val="single" w:color="CCCCCC" w:sz="6" w:space="0"/>
            </w:tcBorders>
            <w:shd w:val="clear"/>
            <w:tcMar>
              <w:lef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666666"/>
                <w:sz w:val="21"/>
                <w:szCs w:val="21"/>
              </w:rPr>
            </w:pPr>
            <w:r>
              <w:rPr>
                <w:rStyle w:val="6"/>
                <w:color w:val="666666"/>
                <w:sz w:val="21"/>
                <w:szCs w:val="21"/>
                <w:bdr w:val="none" w:color="auto" w:sz="0" w:space="0"/>
              </w:rPr>
              <w:t>0-5</w:t>
            </w:r>
          </w:p>
        </w:tc>
        <w:tc>
          <w:tcPr>
            <w:tcW w:w="2010" w:type="dxa"/>
            <w:tcBorders>
              <w:top w:val="single" w:color="CCCCCC" w:sz="6" w:space="0"/>
              <w:left w:val="single" w:color="CCCCCC" w:sz="6" w:space="0"/>
              <w:bottom w:val="single" w:color="CCCCCC" w:sz="6" w:space="0"/>
              <w:right w:val="single" w:color="CCCCCC" w:sz="6" w:space="0"/>
            </w:tcBorders>
            <w:shd w:val="clear"/>
            <w:tcMar>
              <w:lef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666666"/>
                <w:sz w:val="21"/>
                <w:szCs w:val="21"/>
              </w:rPr>
            </w:pPr>
            <w:r>
              <w:rPr>
                <w:rStyle w:val="6"/>
                <w:color w:val="666666"/>
                <w:sz w:val="21"/>
                <w:szCs w:val="21"/>
                <w:bdr w:val="none" w:color="auto" w:sz="0" w:space="0"/>
              </w:rPr>
              <w:t>0-8</w:t>
            </w:r>
          </w:p>
        </w:tc>
        <w:tc>
          <w:tcPr>
            <w:tcW w:w="2010" w:type="dxa"/>
            <w:tcBorders>
              <w:top w:val="single" w:color="CCCCCC" w:sz="6" w:space="0"/>
              <w:left w:val="single" w:color="CCCCCC" w:sz="6" w:space="0"/>
              <w:bottom w:val="single" w:color="CCCCCC" w:sz="6" w:space="0"/>
              <w:right w:val="single" w:color="CCCCCC" w:sz="6" w:space="0"/>
            </w:tcBorders>
            <w:shd w:val="clear"/>
            <w:tcMar>
              <w:lef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666666"/>
                <w:sz w:val="21"/>
                <w:szCs w:val="21"/>
              </w:rPr>
            </w:pPr>
            <w:r>
              <w:rPr>
                <w:rStyle w:val="6"/>
                <w:color w:val="666666"/>
                <w:sz w:val="21"/>
                <w:szCs w:val="21"/>
                <w:bdr w:val="none" w:color="auto" w:sz="0" w:space="0"/>
              </w:rPr>
              <w:t>0-13</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jc w:val="center"/>
        </w:trPr>
        <w:tc>
          <w:tcPr>
            <w:tcW w:w="2010" w:type="dxa"/>
            <w:tcBorders>
              <w:top w:val="single" w:color="CCCCCC" w:sz="6" w:space="0"/>
              <w:left w:val="single" w:color="CCCCCC" w:sz="6" w:space="0"/>
              <w:bottom w:val="single" w:color="CCCCCC" w:sz="6" w:space="0"/>
              <w:right w:val="single" w:color="CCCCCC" w:sz="6" w:space="0"/>
            </w:tcBorders>
            <w:shd w:val="clear"/>
            <w:tcMar>
              <w:lef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666666"/>
                <w:sz w:val="21"/>
                <w:szCs w:val="21"/>
              </w:rPr>
            </w:pPr>
            <w:r>
              <w:rPr>
                <w:rStyle w:val="6"/>
                <w:color w:val="666666"/>
                <w:sz w:val="21"/>
                <w:szCs w:val="21"/>
                <w:bdr w:val="none" w:color="auto" w:sz="0" w:space="0"/>
              </w:rPr>
              <w:t>女子网球</w:t>
            </w:r>
          </w:p>
        </w:tc>
        <w:tc>
          <w:tcPr>
            <w:tcW w:w="2010" w:type="dxa"/>
            <w:tcBorders>
              <w:top w:val="single" w:color="CCCCCC" w:sz="6" w:space="0"/>
              <w:left w:val="single" w:color="CCCCCC" w:sz="6" w:space="0"/>
              <w:bottom w:val="single" w:color="CCCCCC" w:sz="6" w:space="0"/>
              <w:right w:val="single" w:color="CCCCCC" w:sz="6" w:space="0"/>
            </w:tcBorders>
            <w:shd w:val="clear"/>
            <w:tcMar>
              <w:left w:w="75" w:type="dxa"/>
            </w:tcMar>
            <w:vAlign w:val="center"/>
          </w:tcPr>
          <w:p>
            <w:pPr>
              <w:keepNext w:val="0"/>
              <w:keepLines w:val="0"/>
              <w:widowControl/>
              <w:suppressLineNumbers w:val="0"/>
              <w:spacing w:line="525" w:lineRule="atLeast"/>
              <w:jc w:val="center"/>
              <w:rPr>
                <w:sz w:val="21"/>
                <w:szCs w:val="21"/>
              </w:rPr>
            </w:pPr>
          </w:p>
        </w:tc>
        <w:tc>
          <w:tcPr>
            <w:tcW w:w="2010" w:type="dxa"/>
            <w:tcBorders>
              <w:top w:val="single" w:color="CCCCCC" w:sz="6" w:space="0"/>
              <w:left w:val="single" w:color="CCCCCC" w:sz="6" w:space="0"/>
              <w:bottom w:val="single" w:color="CCCCCC" w:sz="6" w:space="0"/>
              <w:right w:val="single" w:color="CCCCCC" w:sz="6" w:space="0"/>
            </w:tcBorders>
            <w:shd w:val="clear"/>
            <w:tcMar>
              <w:lef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666666"/>
                <w:sz w:val="21"/>
                <w:szCs w:val="21"/>
              </w:rPr>
            </w:pPr>
            <w:r>
              <w:rPr>
                <w:rStyle w:val="6"/>
                <w:color w:val="666666"/>
                <w:sz w:val="21"/>
                <w:szCs w:val="21"/>
                <w:bdr w:val="none" w:color="auto" w:sz="0" w:space="0"/>
              </w:rPr>
              <w:t>0-4</w:t>
            </w:r>
          </w:p>
        </w:tc>
        <w:tc>
          <w:tcPr>
            <w:tcW w:w="2010" w:type="dxa"/>
            <w:tcBorders>
              <w:top w:val="single" w:color="CCCCCC" w:sz="6" w:space="0"/>
              <w:left w:val="single" w:color="CCCCCC" w:sz="6" w:space="0"/>
              <w:bottom w:val="single" w:color="CCCCCC" w:sz="6" w:space="0"/>
              <w:right w:val="single" w:color="CCCCCC" w:sz="6" w:space="0"/>
            </w:tcBorders>
            <w:shd w:val="clear"/>
            <w:tcMar>
              <w:lef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666666"/>
                <w:sz w:val="21"/>
                <w:szCs w:val="21"/>
              </w:rPr>
            </w:pPr>
            <w:r>
              <w:rPr>
                <w:rStyle w:val="6"/>
                <w:color w:val="666666"/>
                <w:sz w:val="21"/>
                <w:szCs w:val="21"/>
                <w:bdr w:val="none" w:color="auto" w:sz="0" w:space="0"/>
              </w:rPr>
              <w:t>0-8</w:t>
            </w:r>
          </w:p>
        </w:tc>
        <w:tc>
          <w:tcPr>
            <w:tcW w:w="2010" w:type="dxa"/>
            <w:tcBorders>
              <w:top w:val="single" w:color="CCCCCC" w:sz="6" w:space="0"/>
              <w:left w:val="single" w:color="CCCCCC" w:sz="6" w:space="0"/>
              <w:bottom w:val="single" w:color="CCCCCC" w:sz="6" w:space="0"/>
              <w:right w:val="single" w:color="CCCCCC" w:sz="6" w:space="0"/>
            </w:tcBorders>
            <w:shd w:val="clear"/>
            <w:tcMar>
              <w:lef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666666"/>
                <w:sz w:val="21"/>
                <w:szCs w:val="21"/>
              </w:rPr>
            </w:pPr>
            <w:r>
              <w:rPr>
                <w:rStyle w:val="6"/>
                <w:color w:val="666666"/>
                <w:sz w:val="21"/>
                <w:szCs w:val="21"/>
                <w:bdr w:val="none" w:color="auto" w:sz="0" w:space="0"/>
              </w:rPr>
              <w:t>0-12</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15" w:type="dxa"/>
            <w:left w:w="15" w:type="dxa"/>
            <w:bottom w:w="15" w:type="dxa"/>
            <w:right w:w="15" w:type="dxa"/>
          </w:tblCellMar>
        </w:tblPrEx>
        <w:trPr>
          <w:jc w:val="center"/>
        </w:trPr>
        <w:tc>
          <w:tcPr>
            <w:tcW w:w="2010" w:type="dxa"/>
            <w:tcBorders>
              <w:top w:val="single" w:color="CCCCCC" w:sz="6" w:space="0"/>
              <w:left w:val="single" w:color="CCCCCC" w:sz="6" w:space="0"/>
              <w:bottom w:val="single" w:color="CCCCCC" w:sz="6" w:space="0"/>
              <w:right w:val="single" w:color="CCCCCC" w:sz="6" w:space="0"/>
            </w:tcBorders>
            <w:shd w:val="clear"/>
            <w:tcMar>
              <w:lef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666666"/>
                <w:sz w:val="21"/>
                <w:szCs w:val="21"/>
              </w:rPr>
            </w:pPr>
            <w:r>
              <w:rPr>
                <w:rStyle w:val="6"/>
                <w:color w:val="666666"/>
                <w:sz w:val="21"/>
                <w:szCs w:val="21"/>
                <w:bdr w:val="none" w:color="auto" w:sz="0" w:space="0"/>
              </w:rPr>
              <w:t>合计</w:t>
            </w:r>
          </w:p>
        </w:tc>
        <w:tc>
          <w:tcPr>
            <w:tcW w:w="2010" w:type="dxa"/>
            <w:tcBorders>
              <w:top w:val="single" w:color="CCCCCC" w:sz="6" w:space="0"/>
              <w:left w:val="single" w:color="CCCCCC" w:sz="6" w:space="0"/>
              <w:bottom w:val="single" w:color="CCCCCC" w:sz="6" w:space="0"/>
              <w:right w:val="single" w:color="CCCCCC" w:sz="6" w:space="0"/>
            </w:tcBorders>
            <w:shd w:val="clear"/>
            <w:tcMar>
              <w:lef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666666"/>
                <w:sz w:val="21"/>
                <w:szCs w:val="21"/>
              </w:rPr>
            </w:pPr>
            <w:r>
              <w:rPr>
                <w:rStyle w:val="6"/>
                <w:color w:val="666666"/>
                <w:sz w:val="21"/>
                <w:szCs w:val="21"/>
                <w:bdr w:val="none" w:color="auto" w:sz="0" w:space="0"/>
              </w:rPr>
              <w:t>15</w:t>
            </w:r>
          </w:p>
        </w:tc>
        <w:tc>
          <w:tcPr>
            <w:tcW w:w="2010" w:type="dxa"/>
            <w:tcBorders>
              <w:top w:val="single" w:color="CCCCCC" w:sz="6" w:space="0"/>
              <w:left w:val="single" w:color="CCCCCC" w:sz="6" w:space="0"/>
              <w:bottom w:val="single" w:color="CCCCCC" w:sz="6" w:space="0"/>
              <w:right w:val="single" w:color="CCCCCC" w:sz="6" w:space="0"/>
            </w:tcBorders>
            <w:shd w:val="clear"/>
            <w:tcMar>
              <w:lef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666666"/>
                <w:sz w:val="21"/>
                <w:szCs w:val="21"/>
              </w:rPr>
            </w:pPr>
            <w:r>
              <w:rPr>
                <w:rStyle w:val="6"/>
                <w:color w:val="666666"/>
                <w:sz w:val="21"/>
                <w:szCs w:val="21"/>
                <w:bdr w:val="none" w:color="auto" w:sz="0" w:space="0"/>
              </w:rPr>
              <w:t>23</w:t>
            </w:r>
          </w:p>
        </w:tc>
        <w:tc>
          <w:tcPr>
            <w:tcW w:w="2010" w:type="dxa"/>
            <w:tcBorders>
              <w:top w:val="single" w:color="CCCCCC" w:sz="6" w:space="0"/>
              <w:left w:val="single" w:color="CCCCCC" w:sz="6" w:space="0"/>
              <w:bottom w:val="single" w:color="CCCCCC" w:sz="6" w:space="0"/>
              <w:right w:val="single" w:color="CCCCCC" w:sz="6" w:space="0"/>
            </w:tcBorders>
            <w:shd w:val="clear"/>
            <w:tcMar>
              <w:lef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666666"/>
                <w:sz w:val="21"/>
                <w:szCs w:val="21"/>
              </w:rPr>
            </w:pPr>
            <w:r>
              <w:rPr>
                <w:rStyle w:val="6"/>
                <w:color w:val="666666"/>
                <w:sz w:val="21"/>
                <w:szCs w:val="21"/>
                <w:bdr w:val="none" w:color="auto" w:sz="0" w:space="0"/>
              </w:rPr>
              <w:t>38</w:t>
            </w:r>
          </w:p>
        </w:tc>
        <w:tc>
          <w:tcPr>
            <w:tcW w:w="2010" w:type="dxa"/>
            <w:tcBorders>
              <w:top w:val="single" w:color="CCCCCC" w:sz="6" w:space="0"/>
              <w:left w:val="single" w:color="CCCCCC" w:sz="6" w:space="0"/>
              <w:bottom w:val="single" w:color="CCCCCC" w:sz="6" w:space="0"/>
              <w:right w:val="single" w:color="CCCCCC" w:sz="6" w:space="0"/>
            </w:tcBorders>
            <w:shd w:val="clear"/>
            <w:tcMar>
              <w:lef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color w:val="666666"/>
                <w:sz w:val="21"/>
                <w:szCs w:val="21"/>
              </w:rPr>
            </w:pPr>
            <w:r>
              <w:rPr>
                <w:rStyle w:val="6"/>
                <w:color w:val="666666"/>
                <w:sz w:val="21"/>
                <w:szCs w:val="21"/>
                <w:bdr w:val="none" w:color="auto" w:sz="0" w:space="0"/>
              </w:rPr>
              <w:t>76</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1．计划总数以教育部最后批复确认为准；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2．坚持宁缺勿滥,择优录取的原则，根据实际生源及测试情况可调整各项目招生人数；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3．招生生源省份（我校有普通类招生计划的省份）：重庆、河北、河南、黑龙江、湖南、安徽、山东、江西、广西、山西、陕西、福建、贵州、广东、西藏、四川、宁夏、海南；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4．招生专业：</w:t>
      </w:r>
      <w:r>
        <w:rPr>
          <w:rStyle w:val="6"/>
          <w:rFonts w:hint="eastAsia" w:ascii="微软雅黑" w:hAnsi="微软雅黑" w:eastAsia="微软雅黑" w:cs="微软雅黑"/>
          <w:i w:val="0"/>
          <w:caps w:val="0"/>
          <w:color w:val="666666"/>
          <w:spacing w:val="0"/>
          <w:sz w:val="21"/>
          <w:szCs w:val="21"/>
          <w:bdr w:val="none" w:color="auto" w:sz="0" w:space="0"/>
          <w:shd w:val="clear" w:fill="FFFFFF"/>
        </w:rPr>
        <w:t>工商管理、国际经济与贸易、经济学</w:t>
      </w:r>
      <w:r>
        <w:rPr>
          <w:rFonts w:hint="eastAsia" w:ascii="微软雅黑" w:hAnsi="微软雅黑" w:eastAsia="微软雅黑" w:cs="微软雅黑"/>
          <w:b w:val="0"/>
          <w:i w:val="0"/>
          <w:caps w:val="0"/>
          <w:color w:val="666666"/>
          <w:spacing w:val="0"/>
          <w:sz w:val="21"/>
          <w:szCs w:val="21"/>
          <w:bdr w:val="none" w:color="auto" w:sz="0" w:space="0"/>
          <w:shd w:val="clear" w:fill="FFFFFF"/>
        </w:rPr>
        <w:t>，具体以生源省（市、自治区）招生部门公布的专业目录为准。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二、报考条件及要求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（一）符合全国普通高等学校年度招生工作规定的报考条件，并取得高考报名资格，符合全国大学生比赛参赛资格。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（二）凡以同等学力报考的学生必须提供与高级中等教育相当的学习证明和成绩单，由省级教育行政部门协助我校对其资格进行认定，未经资格认定者不得报考。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（三）文化课优惠分值报名要求：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报考文化课单独考试的考生，必须获得国家一级运动员(含)以上证书，并参加由国家体育总局统一组织的运动训练、武术与民族传统体育专业单独招生文化课考试。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报考二本线65%及二本线的考生，必须获得国家二级运动员(含)以上证书，并在其户口所在地参加普通高等学校招生全国统一考试。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（四）考生运动员技术等级证书中的运动项目应与报考的运动项目一致（原则上运动小项也应对应一致，其中</w:t>
      </w:r>
      <w:r>
        <w:rPr>
          <w:rStyle w:val="6"/>
          <w:rFonts w:hint="eastAsia" w:ascii="微软雅黑" w:hAnsi="微软雅黑" w:eastAsia="微软雅黑" w:cs="微软雅黑"/>
          <w:i w:val="0"/>
          <w:caps w:val="0"/>
          <w:color w:val="666666"/>
          <w:spacing w:val="0"/>
          <w:sz w:val="21"/>
          <w:szCs w:val="21"/>
          <w:bdr w:val="none" w:color="auto" w:sz="0" w:space="0"/>
          <w:shd w:val="clear" w:fill="FFFFFF"/>
        </w:rPr>
        <w:t>足球仅限指11人制室外足球项目、篮球仅限指5人制篮球项目</w:t>
      </w:r>
      <w:r>
        <w:rPr>
          <w:rFonts w:hint="eastAsia" w:ascii="微软雅黑" w:hAnsi="微软雅黑" w:eastAsia="微软雅黑" w:cs="微软雅黑"/>
          <w:b w:val="0"/>
          <w:i w:val="0"/>
          <w:caps w:val="0"/>
          <w:color w:val="666666"/>
          <w:spacing w:val="0"/>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（五）以集体项目（含男子篮球、女子篮球、男子足球）比赛成绩报名的考生须提供相应比赛中为主力队员的证明，证明材料模板见附件一。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（六）在符合以上基础条件的前提下，各项目的报名还须具备相应的具体条件为：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1．男子篮球、女子篮球，具备以下条件之一：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（1）高级中等教育学校毕业，获得国家二级运动员（含）以上证书且高中阶段在省级（含）以上比赛（仅限指5人制篮球项目）中获得集体项目前六名的主力队员；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（2）具有高级中等教育同等学力，获得国家一级运动员（含）以上证书者，或近三年内在全国（或国际）集体项目比赛（仅限指5人制篮球项目）中获得前八名的主力队员。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注：篮球项目不接受在国家体育总局或中国篮球协会注册过的运动员报名，也不接受曾参加全国U19、U21青年联赛、全国俱乐部青年联赛、WCBA联赛、NBL联赛、CBA联赛的运动员报名。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2．男子足球，具备以下条件之一：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（1）高级中等教育学校毕业，获得国家二级运动员（含）以上证书且高中阶段在省级（含）以上比赛（仅限指11人制室外足球项目）中获得集体项目前六名的主力队员；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（2）具有高级中等教育同等学力，获得国家一级运动员（含）以上证书者，或近三年内在全国（或国际）集体项目比赛（仅限指11人制室外足球项目）中获得前八名的主力队员。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注：足球项目不接受参加（报名）过中国足球超级联赛、中国足球甲、乙级联赛及上述赛事的预备队联赛及预赛的运动员报名。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3．男子乒乓球、女子乒乓球，具备以下条件之一：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（1）高级中等教育学校毕业，获得国家二级运动员（含）以上证书且高中阶段在省级（含）以上比赛中获得个人项目（含双打）前三名者；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（2）具有高级中等教育同等学力，获得国家一级运动员（含）以上证书者。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注：女子乒乓球项目不接受参加（含注册、报名和参赛）过中国超级俱乐部联赛、中国乒乓球俱乐部甲A比赛及全国乒乓球锦标赛(决赛)、全运会（预赛及决赛）的运动员报名。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4．男子网球、女子网球，具备以下条件之一：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（1）高级中等教育学校毕业，获得国家二级运动员（含）以上证书且高中阶段在省级（含）以上比赛中获得个人项目（含双打）前三名者；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（2）具有高级中等教育同等学力，获得国家一级运动员（含）以上证书者。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三、报名流程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1</w:t>
      </w:r>
      <w:r>
        <w:rPr>
          <w:rFonts w:hint="eastAsia" w:ascii="微软雅黑" w:hAnsi="微软雅黑" w:eastAsia="微软雅黑" w:cs="微软雅黑"/>
          <w:b w:val="0"/>
          <w:i w:val="0"/>
          <w:caps w:val="0"/>
          <w:color w:val="666666"/>
          <w:spacing w:val="0"/>
          <w:sz w:val="21"/>
          <w:szCs w:val="21"/>
          <w:bdr w:val="none" w:color="auto" w:sz="0" w:space="0"/>
          <w:shd w:val="clear" w:fill="FFFFFF"/>
        </w:rPr>
        <w:t>．</w:t>
      </w:r>
      <w:r>
        <w:rPr>
          <w:rStyle w:val="6"/>
          <w:rFonts w:hint="eastAsia" w:ascii="微软雅黑" w:hAnsi="微软雅黑" w:eastAsia="微软雅黑" w:cs="微软雅黑"/>
          <w:i w:val="0"/>
          <w:caps w:val="0"/>
          <w:color w:val="666666"/>
          <w:spacing w:val="0"/>
          <w:sz w:val="21"/>
          <w:szCs w:val="21"/>
          <w:bdr w:val="none" w:color="auto" w:sz="0" w:space="0"/>
          <w:shd w:val="clear" w:fill="FFFFFF"/>
        </w:rPr>
        <w:t>网上报名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（1）报名时间：2020年1月2日至2020年1月14日</w:t>
      </w:r>
      <w:r>
        <w:rPr>
          <w:rFonts w:hint="eastAsia" w:ascii="微软雅黑" w:hAnsi="微软雅黑" w:eastAsia="微软雅黑" w:cs="微软雅黑"/>
          <w:b w:val="0"/>
          <w:i w:val="0"/>
          <w:caps w:val="0"/>
          <w:color w:val="666666"/>
          <w:spacing w:val="0"/>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（2）报名方法：</w:t>
      </w:r>
      <w:r>
        <w:rPr>
          <w:rFonts w:hint="eastAsia" w:ascii="微软雅黑" w:hAnsi="微软雅黑" w:eastAsia="微软雅黑" w:cs="微软雅黑"/>
          <w:b w:val="0"/>
          <w:i w:val="0"/>
          <w:caps w:val="0"/>
          <w:color w:val="666666"/>
          <w:spacing w:val="0"/>
          <w:sz w:val="21"/>
          <w:szCs w:val="21"/>
          <w:bdr w:val="none" w:color="auto" w:sz="0" w:space="0"/>
          <w:shd w:val="clear" w:fill="FFFFFF"/>
        </w:rPr>
        <w:t>登录我校招生办公室网站，进入</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"https://e.gdut.edu.cn/taskcenter/workflow/index?membership=d14a4818-076d-4ea6-86b3-36a167b26b50" \t "https://gaokao.chsi.com.cn/zsgs/zhangcheng/_self"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7"/>
          <w:rFonts w:hint="eastAsia" w:ascii="微软雅黑" w:hAnsi="微软雅黑" w:eastAsia="微软雅黑" w:cs="微软雅黑"/>
          <w:i w:val="0"/>
          <w:caps w:val="0"/>
          <w:color w:val="666666"/>
          <w:spacing w:val="0"/>
          <w:sz w:val="21"/>
          <w:szCs w:val="21"/>
          <w:u w:val="none"/>
          <w:shd w:val="clear" w:fill="FFFFFF"/>
        </w:rPr>
        <w:t>高水平运动员报名系统</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b w:val="0"/>
          <w:i w:val="0"/>
          <w:caps w:val="0"/>
          <w:color w:val="666666"/>
          <w:spacing w:val="0"/>
          <w:sz w:val="21"/>
          <w:szCs w:val="21"/>
          <w:bdr w:val="none" w:color="auto" w:sz="0" w:space="0"/>
          <w:shd w:val="clear" w:fill="FFFFFF"/>
        </w:rPr>
        <w:t>填写报名信息，按要求上传相关证明材料，提交后打印报名表。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特别说明：</w:t>
      </w:r>
      <w:r>
        <w:rPr>
          <w:rStyle w:val="6"/>
          <w:rFonts w:hint="eastAsia" w:ascii="微软雅黑" w:hAnsi="微软雅黑" w:eastAsia="微软雅黑" w:cs="微软雅黑"/>
          <w:i w:val="0"/>
          <w:caps w:val="0"/>
          <w:color w:val="666666"/>
          <w:spacing w:val="0"/>
          <w:sz w:val="21"/>
          <w:szCs w:val="21"/>
          <w:bdr w:val="none" w:color="auto" w:sz="0" w:space="0"/>
          <w:shd w:val="clear" w:fill="FFFFFF"/>
        </w:rPr>
        <w:t>未确认提交者，请保存草稿，并在2020年1月14日24:00前提交，超时系统自动拦截；一旦提交，不得修改。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需上传的材料如下：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①  运动等级证书扫描件；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②  国家体育总局网站“</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"http://ydydj.univsport.com/index.php?m=index&amp;c=look&amp;a=look"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7"/>
          <w:rFonts w:hint="eastAsia" w:ascii="微软雅黑" w:hAnsi="微软雅黑" w:eastAsia="微软雅黑" w:cs="微软雅黑"/>
          <w:i w:val="0"/>
          <w:caps w:val="0"/>
          <w:color w:val="666666"/>
          <w:spacing w:val="0"/>
          <w:sz w:val="21"/>
          <w:szCs w:val="21"/>
          <w:u w:val="none"/>
          <w:shd w:val="clear" w:fill="FFFFFF"/>
        </w:rPr>
        <w:t>运动员技术等级综合管理系统</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b w:val="0"/>
          <w:i w:val="0"/>
          <w:caps w:val="0"/>
          <w:color w:val="666666"/>
          <w:spacing w:val="0"/>
          <w:sz w:val="21"/>
          <w:szCs w:val="21"/>
          <w:bdr w:val="none" w:color="auto" w:sz="0" w:space="0"/>
          <w:shd w:val="clear" w:fill="FFFFFF"/>
        </w:rPr>
        <w:t>”的查询结果截图；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③  符合报名条件的比赛获奖证书、比赛秩序册和成绩册扫描件（三者必须为同一比赛的相关材料；秩序册与成绩册只需上传封面及本人页；请将本人名字标出；如有多次获奖均符合条件，</w:t>
      </w:r>
      <w:r>
        <w:rPr>
          <w:rStyle w:val="6"/>
          <w:rFonts w:hint="eastAsia" w:ascii="微软雅黑" w:hAnsi="微软雅黑" w:eastAsia="微软雅黑" w:cs="微软雅黑"/>
          <w:i w:val="0"/>
          <w:caps w:val="0"/>
          <w:color w:val="666666"/>
          <w:spacing w:val="0"/>
          <w:sz w:val="21"/>
          <w:szCs w:val="21"/>
          <w:bdr w:val="none" w:color="auto" w:sz="0" w:space="0"/>
          <w:shd w:val="clear" w:fill="FFFFFF"/>
        </w:rPr>
        <w:t>仅提供其中最好成绩一次即可</w:t>
      </w:r>
      <w:r>
        <w:rPr>
          <w:rFonts w:hint="eastAsia" w:ascii="微软雅黑" w:hAnsi="微软雅黑" w:eastAsia="微软雅黑" w:cs="微软雅黑"/>
          <w:b w:val="0"/>
          <w:i w:val="0"/>
          <w:caps w:val="0"/>
          <w:color w:val="666666"/>
          <w:spacing w:val="0"/>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④  学历证明：应届毕业生（未发毕业证者）学校出具的证明件扫描件；往届生毕业证书扫描件；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⑤  有效期内的身份证件扫描件（正反面）；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⑥  2020年高考准考证扫描件（未领取高考准考证的考生可提供高考报名系统报名截图）;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⑦  集体项目（含男子篮球、女子篮球、男子足球）主力队员的</w:t>
      </w:r>
      <w:r>
        <w:rPr>
          <w:rStyle w:val="6"/>
          <w:rFonts w:hint="eastAsia" w:ascii="微软雅黑" w:hAnsi="微软雅黑" w:eastAsia="微软雅黑" w:cs="微软雅黑"/>
          <w:i w:val="0"/>
          <w:caps w:val="0"/>
          <w:color w:val="666666"/>
          <w:spacing w:val="0"/>
          <w:sz w:val="21"/>
          <w:szCs w:val="21"/>
          <w:bdr w:val="none" w:color="auto" w:sz="0" w:space="0"/>
          <w:shd w:val="clear" w:fill="FFFFFF"/>
        </w:rPr>
        <w:t>盖章</w:t>
      </w:r>
      <w:r>
        <w:rPr>
          <w:rFonts w:hint="eastAsia" w:ascii="微软雅黑" w:hAnsi="微软雅黑" w:eastAsia="微软雅黑" w:cs="微软雅黑"/>
          <w:b w:val="0"/>
          <w:i w:val="0"/>
          <w:caps w:val="0"/>
          <w:color w:val="666666"/>
          <w:spacing w:val="0"/>
          <w:sz w:val="21"/>
          <w:szCs w:val="21"/>
          <w:bdr w:val="none" w:color="auto" w:sz="0" w:space="0"/>
          <w:shd w:val="clear" w:fill="FFFFFF"/>
        </w:rPr>
        <w:t>证明扫描件。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温馨提示：同一证明项目，涉及多页面材料上传的，可编辑成PDF或放到同一WORD文档中上传。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2．书面报名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考生在完成网上报名后，还须邮寄以下纸质版报名材料：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① 《广东工业大学2020年高水平运动队报名申请表》（网上报名提交后打印，需考生本人签名，所在学校（单位）加盖公章，请确保手机号码正确、有效）；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② 考生本人近期彩色免冠小1寸照片2张（在相片背面写上姓名及报考项目）;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以上材料须于</w:t>
      </w:r>
      <w:r>
        <w:rPr>
          <w:rStyle w:val="6"/>
          <w:rFonts w:hint="eastAsia" w:ascii="微软雅黑" w:hAnsi="微软雅黑" w:eastAsia="微软雅黑" w:cs="微软雅黑"/>
          <w:i w:val="0"/>
          <w:caps w:val="0"/>
          <w:color w:val="666666"/>
          <w:spacing w:val="0"/>
          <w:sz w:val="21"/>
          <w:szCs w:val="21"/>
          <w:bdr w:val="none" w:color="auto" w:sz="0" w:space="0"/>
          <w:shd w:val="clear" w:fill="FFFFFF"/>
        </w:rPr>
        <w:t>2020年1月16日前</w:t>
      </w:r>
      <w:r>
        <w:rPr>
          <w:rFonts w:hint="eastAsia" w:ascii="微软雅黑" w:hAnsi="微软雅黑" w:eastAsia="微软雅黑" w:cs="微软雅黑"/>
          <w:b w:val="0"/>
          <w:i w:val="0"/>
          <w:caps w:val="0"/>
          <w:color w:val="666666"/>
          <w:spacing w:val="0"/>
          <w:sz w:val="21"/>
          <w:szCs w:val="21"/>
          <w:bdr w:val="none" w:color="auto" w:sz="0" w:space="0"/>
          <w:shd w:val="clear" w:fill="FFFFFF"/>
        </w:rPr>
        <w:t>（以寄出日期为准）使用</w:t>
      </w:r>
      <w:r>
        <w:rPr>
          <w:rStyle w:val="6"/>
          <w:rFonts w:hint="eastAsia" w:ascii="微软雅黑" w:hAnsi="微软雅黑" w:eastAsia="微软雅黑" w:cs="微软雅黑"/>
          <w:i w:val="0"/>
          <w:caps w:val="0"/>
          <w:color w:val="666666"/>
          <w:spacing w:val="0"/>
          <w:sz w:val="21"/>
          <w:szCs w:val="21"/>
          <w:bdr w:val="none" w:color="auto" w:sz="0" w:space="0"/>
          <w:shd w:val="clear" w:fill="FFFFFF"/>
        </w:rPr>
        <w:t>EMS</w:t>
      </w:r>
      <w:r>
        <w:rPr>
          <w:rFonts w:hint="eastAsia" w:ascii="微软雅黑" w:hAnsi="微软雅黑" w:eastAsia="微软雅黑" w:cs="微软雅黑"/>
          <w:b w:val="0"/>
          <w:i w:val="0"/>
          <w:caps w:val="0"/>
          <w:color w:val="666666"/>
          <w:spacing w:val="0"/>
          <w:sz w:val="21"/>
          <w:szCs w:val="21"/>
          <w:bdr w:val="none" w:color="auto" w:sz="0" w:space="0"/>
          <w:shd w:val="clear" w:fill="FFFFFF"/>
        </w:rPr>
        <w:t>或</w:t>
      </w:r>
      <w:r>
        <w:rPr>
          <w:rStyle w:val="6"/>
          <w:rFonts w:hint="eastAsia" w:ascii="微软雅黑" w:hAnsi="微软雅黑" w:eastAsia="微软雅黑" w:cs="微软雅黑"/>
          <w:i w:val="0"/>
          <w:caps w:val="0"/>
          <w:color w:val="666666"/>
          <w:spacing w:val="0"/>
          <w:sz w:val="21"/>
          <w:szCs w:val="21"/>
          <w:bdr w:val="none" w:color="auto" w:sz="0" w:space="0"/>
          <w:shd w:val="clear" w:fill="FFFFFF"/>
        </w:rPr>
        <w:t>顺丰</w:t>
      </w:r>
      <w:r>
        <w:rPr>
          <w:rFonts w:hint="eastAsia" w:ascii="微软雅黑" w:hAnsi="微软雅黑" w:eastAsia="微软雅黑" w:cs="微软雅黑"/>
          <w:b w:val="0"/>
          <w:i w:val="0"/>
          <w:caps w:val="0"/>
          <w:color w:val="666666"/>
          <w:spacing w:val="0"/>
          <w:sz w:val="21"/>
          <w:szCs w:val="21"/>
          <w:bdr w:val="none" w:color="auto" w:sz="0" w:space="0"/>
          <w:shd w:val="clear" w:fill="FFFFFF"/>
        </w:rPr>
        <w:t>快递至我校招生办公室（地址：广东省广州市番禺区大学城外环西路100号广东工业大学行政楼328室招生办公室，收件人：卢老师，联系电话：020-39322681，务必注明“高水平运动队报名材料+报名项目”），逾期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注:</w:t>
      </w:r>
      <w:r>
        <w:rPr>
          <w:rStyle w:val="6"/>
          <w:rFonts w:hint="eastAsia" w:ascii="微软雅黑" w:hAnsi="微软雅黑" w:eastAsia="微软雅黑" w:cs="微软雅黑"/>
          <w:i w:val="0"/>
          <w:caps w:val="0"/>
          <w:color w:val="666666"/>
          <w:spacing w:val="0"/>
          <w:sz w:val="21"/>
          <w:szCs w:val="21"/>
          <w:bdr w:val="none" w:color="auto" w:sz="0" w:space="0"/>
          <w:shd w:val="clear" w:fill="FFFFFF"/>
        </w:rPr>
        <w:t>仅网上报名，未按要求邮寄纸质申请材料者不予初审</w:t>
      </w: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四、资格初审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我校对考生材料进行初审，初审合格的考生方可参加我校现场资格复审及高水平运动员体育专项测试。考生可通过我校招生办公室网站查询初审结果。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查询日期：</w:t>
      </w:r>
      <w:r>
        <w:rPr>
          <w:rStyle w:val="6"/>
          <w:rFonts w:hint="eastAsia" w:ascii="微软雅黑" w:hAnsi="微软雅黑" w:eastAsia="微软雅黑" w:cs="微软雅黑"/>
          <w:i w:val="0"/>
          <w:caps w:val="0"/>
          <w:color w:val="666666"/>
          <w:spacing w:val="0"/>
          <w:sz w:val="21"/>
          <w:szCs w:val="21"/>
          <w:bdr w:val="none" w:color="auto" w:sz="0" w:space="0"/>
          <w:shd w:val="clear" w:fill="FFFFFF"/>
        </w:rPr>
        <w:t>2020年2月15日前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五、测试流程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（一）现场资格复审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1.时间：</w:t>
      </w:r>
      <w:r>
        <w:rPr>
          <w:rStyle w:val="6"/>
          <w:rFonts w:hint="eastAsia" w:ascii="微软雅黑" w:hAnsi="微软雅黑" w:eastAsia="微软雅黑" w:cs="微软雅黑"/>
          <w:i w:val="0"/>
          <w:caps w:val="0"/>
          <w:color w:val="666666"/>
          <w:spacing w:val="0"/>
          <w:sz w:val="21"/>
          <w:szCs w:val="21"/>
          <w:bdr w:val="none" w:color="auto" w:sz="0" w:space="0"/>
          <w:shd w:val="clear" w:fill="FFFFFF"/>
        </w:rPr>
        <w:t>2020年2月21日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2.地点：广东工业大学大学城校区体育部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3.须携带材料：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（1）身份证原件；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（2）运动员等级证书原件；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（3）高中阶段最好比赛成绩的获奖证书、比赛秩序册和成绩册原件（三者必须为同一比赛）；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（考生高中阶段最好比赛成绩评分标准可见附件二）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（4）考生购买测试期间的个人“人身意外伤害保险”保险单据原件。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（5）报考“文化课单独考试”优惠分值的考生，需提供在“体育招生系统”注册成功截图，详见下方第六条第（二）点说明。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注：缺少原件或者没有通过现场审核确认的不予参加专项测试。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4.缴纳报名测试费200元/人。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5.签订“同意接受兴奋剂检查和不使用兴奋剂的承诺书”，拒不签订承诺书或拒绝接受兴奋剂检查的考生，视为主动放弃考试资格。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6.办理准考证。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（二）测试时间：2020年2月22-23日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（三）测试地点：</w:t>
      </w:r>
      <w:r>
        <w:rPr>
          <w:rFonts w:hint="eastAsia" w:ascii="微软雅黑" w:hAnsi="微软雅黑" w:eastAsia="微软雅黑" w:cs="微软雅黑"/>
          <w:b w:val="0"/>
          <w:i w:val="0"/>
          <w:caps w:val="0"/>
          <w:color w:val="666666"/>
          <w:spacing w:val="0"/>
          <w:sz w:val="21"/>
          <w:szCs w:val="21"/>
          <w:bdr w:val="none" w:color="auto" w:sz="0" w:space="0"/>
          <w:shd w:val="clear" w:fill="FFFFFF"/>
        </w:rPr>
        <w:t>广东工业大学大学城校区相应项目测试场地（如有调整将另行通知）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（四）测试内容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1.篮球：四线折返跑、三角滑步、一分钟投篮、全场运球传接投篮、实战综合能力（全场比赛）；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2.足球：运球绕杆射门、踢准、5～20米 × 5折返跑、实战综合能力（比赛）；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守门员专项测试内容：扑接球综合技术、抛远与踢远、5～20米×5折返跑、实战综合能力（比赛）；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3.乒乓球：实战综合能力（比赛）、综合技术运用；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4.网球：实战综合能力（比赛）、专项素质测试（扇形移动跑）。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（五）专项测试总评成绩组成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专项测试总评成绩=考生体育专项测试成绩×60%+考评组专家评分×15%+考生高中阶段比赛成绩×10%+教练组评分×15%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六、文化考试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文化考试分为统考、单独考试两种形式。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（一）统考。符合教育部规定的统考招生条件的考生，参加其户口所在地省级招办统一组织的高考报名并参加普通高校招生全国统一考试。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二）单独考试。凡符合我校高水平运动队报名条件且获得一级运动员、运动健将、国际健将称号之一，并报考我校“文化课单独考试”类的考生，应统一在“中国运动文化教育网”（www.ydyeducation.com）或“体教联盟APP”中“普通高等学校运动训练、武术与民族传统体育专业招生系统”（以下简称“体育招生系统”）进行注册（验证考生报名资格）并报名，报考志愿为广东工业大学，具体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注册时间为2020年2月1日至3月1日12:00；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报名时间为2020年3月1日至3月10日12:00；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考试时间为2020年4月18日至4月19日，文化考试科目为语文、数学、政治、英语四科，每科满分为150分，四科满分为600分，使用国家通用语言文字作答，考生应根据考试时间和地点参加考试，有关要求和流程参看国家体育总局和考试承办单位的相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七、专项测试合格名单公示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学校高水平运动队招生领导小组根据学校招生计划、学校高水平运动队各项目建设的急需程度及考生体育专项测试总评成绩确定体育专项测试合格名单。测试合格名单须经考生所在省级招办确认，并经教育部“阳光高考”平台和我校网站https://zsb.gdut.edu.cn/公示无异议后方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八、录取政策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获广东工业大学高水平运动队招生体育专项测试合格资格的考生，必须经过生源地高水平运动员测试并获得通过，在高考录取中可以享受如下优惠政策：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一）具有国家一级运动员(含)以上证书，专业水平测试成绩极为突出，须参加国家体育总局统一组织的运动训练、武术与民族传统体育专业单独招生文化课考试，成绩达到教育部规定和我校划定的文化课合格线者，无需参加高考，直接录取。拟录取人数不超过我校2020年高水平运动队招生计划的20%，即不超过15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二）具有国家二级运动员(含)以上证书，专业水平测试成绩突出、具有较大培养前途者，高考成绩达到其所在省(区、市)本科第二批次录取控制线65%，予以录取。拟录取人数不超过我校2020年高水平运动队招生计划的30%，即不超过23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（三）具有国家二级运动员(含)以上证书，专业水平测试成绩合格，具有一定培养前途者，高考成绩达到其所在省(区、市)本科第二批次录取控制线，择优予以录取。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注：对于合并本科批次的省份，按照所在省份确定的高水平运动队相关最低录取控制参考分数线执行，具体录取办法按照所在省份的高水平运动队招生管理相关规定执行。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九、相关说明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（一）我校成立高水平运动队招生工作领导小组，具体负责高水平运动队的招生工作。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（二）高考志愿填报后，凡报考我校的公示无异议考生须在第一时间将高考成绩单及高考志愿表电邮至sports@gdut.edu.cn，以便确认，学校不再另行通知。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三）报考考生及报考考生所在单位应对其提供材料的真实性负责。对在体育专项测试或文化课单独考试中被认定为作弊的学生，以及提供虚假身份证明（或证书）材料取得高水平运动队资格的学生，一经发现并核实，取消其报考或录取资格，并将其考试作弊或材料作假事实通报生源所在地省级招办。已被录取进入我校学习的，我校将取消其学籍。《刑法修正案（九）》已将替考、请人替考等行为列为犯罪行为，此次考试中涉嫌犯罪的，我校将依法移送司法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（四）被录取为我校高水平运动队队员的考生入校后，我校将进行体育专项水平和体检复查。复查结果不合格者，按相关规定处理。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（五）凡我校招收的高水平运动队队员入学后必须参加我校组织的运动训练和体育比赛，无故不参加训练和比赛者，将按照学校有关管理规定处理。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十、监督与实施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高水平运动队招生选拔工作在学校高水平运动队招生工作领导小组的领导和学校纪检监察的全程监督下进行，由学校招生办公室负责具体实施。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十一、其他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本招生简章由广东工业大学高水平运动队招生领导小组委托广东工业大学招生工作办公室负责解释，对该简章在实施过程中存在疑义者应在简章公布之日起一年内通过咨询或者信访提出，过期不受理。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如教育部有新的规定，以新的文件和精神为准。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咨询电话：020-39322681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信访电话：020-39322692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邮箱：</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"mailto:sports@gdut.edu.cn"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7"/>
          <w:rFonts w:hint="eastAsia" w:ascii="微软雅黑" w:hAnsi="微软雅黑" w:eastAsia="微软雅黑" w:cs="微软雅黑"/>
          <w:b w:val="0"/>
          <w:i w:val="0"/>
          <w:caps w:val="0"/>
          <w:color w:val="666666"/>
          <w:spacing w:val="0"/>
          <w:sz w:val="21"/>
          <w:szCs w:val="21"/>
          <w:u w:val="none"/>
          <w:shd w:val="clear" w:fill="FFFFFF"/>
        </w:rPr>
        <w:t>sports@gdut.edu.cn</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广东工业大学招生办公室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广东工业大学体育部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2020年1月2日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054652"/>
    <w:rsid w:val="0F0546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2021-01-08T07:28:00Z</dcterms:created>
  <dc:creator>太阳宝宝</dc:creator>
  <cp:lastModifiedBy>太阳宝宝</cp:lastModifiedBy>
  <dcterms:modified xsi:type="dcterms:W3CDTF">2021-01-08T07:28:27Z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